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01A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eastAsia="方正小标宋简体"/>
          <w:spacing w:val="-20"/>
          <w:sz w:val="44"/>
          <w:szCs w:val="44"/>
        </w:rPr>
      </w:pPr>
      <w:r>
        <w:rPr>
          <w:rFonts w:hint="eastAsia" w:ascii="方正小标宋简体" w:eastAsia="方正小标宋简体"/>
          <w:spacing w:val="-20"/>
          <w:sz w:val="44"/>
          <w:szCs w:val="44"/>
        </w:rPr>
        <w:t>询价函</w:t>
      </w:r>
    </w:p>
    <w:p w14:paraId="27A60B00">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一、基本情况</w:t>
      </w:r>
    </w:p>
    <w:p w14:paraId="2B5925B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1.项目名称：下游供应商采购账期业务尽职调查服务；编号：HZKG-2026-0701；</w:t>
      </w:r>
    </w:p>
    <w:p w14:paraId="15F59A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2.采购需求：详见《下游供应商采购账期业务尽职调查服务采购需求》</w:t>
      </w:r>
    </w:p>
    <w:p w14:paraId="57B531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3.服务期：接采购人通知后，10个工作日内出具正式报告；</w:t>
      </w:r>
    </w:p>
    <w:p w14:paraId="38D81AB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4.采购预算（限价）：1万元；</w:t>
      </w:r>
    </w:p>
    <w:p w14:paraId="29FEB8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5.中选标准：本次询价将遵循合理低价原则：符合要求的情况下，报价不得超过限价，且报价最低者为中选者。如出现两个及以上最低报价，将通过现场抽签选出本次中选者；</w:t>
      </w:r>
    </w:p>
    <w:p w14:paraId="4409D81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ajorEastAsia" w:hAnsiTheme="majorEastAsia" w:eastAsiaTheme="majorEastAsia" w:cstheme="majorEastAsia"/>
          <w:sz w:val="28"/>
          <w:szCs w:val="28"/>
          <w:lang w:val="en-US" w:eastAsia="zh-CN"/>
        </w:rPr>
        <w:t>6.付款方式：尽调服务完成后，尽调报告验收且开具发票后15个工作日内完成款项支付。</w:t>
      </w:r>
    </w:p>
    <w:p w14:paraId="6AB0C70E">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二、供应商要求</w:t>
      </w:r>
    </w:p>
    <w:p w14:paraId="723E509A">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1.供应商资质：具备独立法人资格，持有有效营业执照；其余</w:t>
      </w:r>
      <w:r>
        <w:rPr>
          <w:rFonts w:hint="eastAsia" w:asciiTheme="majorEastAsia" w:hAnsiTheme="majorEastAsia" w:eastAsiaTheme="majorEastAsia" w:cstheme="majorEastAsia"/>
          <w:sz w:val="28"/>
          <w:szCs w:val="28"/>
          <w:lang w:val="en-US" w:eastAsia="zh-CN"/>
        </w:rPr>
        <w:t>详见《下游供应商采购账期业务尽职调查服务采购需求》。</w:t>
      </w:r>
    </w:p>
    <w:p w14:paraId="3562853C">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2.独立性承诺要求：供应商与本次尽调目标企业（安徽广达金属科技有限公司）及其实际控制人、控股股东、核心关联企业，不存在股权关联、人员任职、近3年业务合作及其他可能影响尽调公正性的利害关系，须提供书面独立性承诺函。</w:t>
      </w:r>
    </w:p>
    <w:p w14:paraId="18FC8701">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3.保密能力要求：具备完善的商业信息保密管理制度，承诺对项目实施过程中获取的采购人及目标企业所有非公开信息严格保密，不得向任何第三方泄露，须提供书面保密承诺函。</w:t>
      </w:r>
    </w:p>
    <w:p w14:paraId="764D70A5">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kern w:val="2"/>
          <w:sz w:val="28"/>
          <w:szCs w:val="28"/>
          <w:lang w:val="en-US" w:eastAsia="zh-CN" w:bidi="ar-SA"/>
        </w:rPr>
      </w:pPr>
      <w:r>
        <w:rPr>
          <w:rFonts w:hint="eastAsia" w:asciiTheme="majorEastAsia" w:hAnsiTheme="majorEastAsia" w:eastAsiaTheme="majorEastAsia" w:cstheme="majorEastAsia"/>
          <w:kern w:val="2"/>
          <w:sz w:val="28"/>
          <w:szCs w:val="28"/>
          <w:lang w:val="en-US" w:eastAsia="zh-CN" w:bidi="ar-SA"/>
        </w:rPr>
        <w:t>三、询价文件提交</w:t>
      </w:r>
    </w:p>
    <w:p w14:paraId="71EF372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1.响应文件提交截止时间前，递交纸质版响应文件，纸质文件递交地址：安徽省马鞍山市和县历阳镇陋室西街328号文化大厦旁安徽和州控股集团有限公司202室；</w:t>
      </w:r>
    </w:p>
    <w:p w14:paraId="2836B3B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供应商提交的响应文件：响应文件正本1份，副本2份，密封提交。</w:t>
      </w:r>
    </w:p>
    <w:p w14:paraId="431D29B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2.递交截止时间：2026年7月31日14点30分（北京时间）；</w:t>
      </w:r>
    </w:p>
    <w:p w14:paraId="0852DA7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3.递交材料：</w:t>
      </w:r>
    </w:p>
    <w:p w14:paraId="7B24846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b/>
          <w:bCs/>
          <w:sz w:val="28"/>
          <w:szCs w:val="28"/>
          <w:lang w:val="en-US" w:eastAsia="zh-CN"/>
        </w:rPr>
        <w:t>二、供应商要求</w:t>
      </w:r>
      <w:r>
        <w:rPr>
          <w:rFonts w:hint="eastAsia" w:asciiTheme="majorEastAsia" w:hAnsiTheme="majorEastAsia" w:eastAsiaTheme="majorEastAsia" w:cstheme="majorEastAsia"/>
          <w:sz w:val="28"/>
          <w:szCs w:val="28"/>
          <w:lang w:val="en-US" w:eastAsia="zh-CN"/>
        </w:rPr>
        <w:t>”中要求的各类资料；</w:t>
      </w:r>
    </w:p>
    <w:p w14:paraId="64CE73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（2）法人身份证复印件；</w:t>
      </w:r>
    </w:p>
    <w:p w14:paraId="36D4960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eastAsia="zh-CN"/>
        </w:rPr>
      </w:pPr>
      <w:r>
        <w:rPr>
          <w:rFonts w:hint="eastAsia" w:asciiTheme="majorEastAsia" w:hAnsiTheme="majorEastAsia" w:eastAsiaTheme="majorEastAsia" w:cstheme="majorEastAsia"/>
          <w:sz w:val="28"/>
          <w:szCs w:val="28"/>
          <w:lang w:val="en-US" w:eastAsia="zh-CN"/>
        </w:rPr>
        <w:t>（3）授权委托人身份证复印件及授权委托书（如有）</w:t>
      </w:r>
    </w:p>
    <w:p w14:paraId="292366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报价单</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附件1）；</w:t>
      </w:r>
    </w:p>
    <w:p w14:paraId="256DE8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5）</w:t>
      </w:r>
      <w:r>
        <w:rPr>
          <w:rFonts w:hint="eastAsia" w:asciiTheme="majorEastAsia" w:hAnsiTheme="majorEastAsia" w:eastAsiaTheme="majorEastAsia" w:cstheme="majorEastAsia"/>
          <w:sz w:val="28"/>
          <w:szCs w:val="28"/>
        </w:rPr>
        <w:t>以上资格要求的证明文件的复印件，且须加盖单位公章后方为有效</w:t>
      </w:r>
      <w:r>
        <w:rPr>
          <w:rFonts w:hint="eastAsia" w:asciiTheme="majorEastAsia" w:hAnsiTheme="majorEastAsia" w:eastAsiaTheme="majorEastAsia" w:cstheme="majorEastAsia"/>
          <w:sz w:val="28"/>
          <w:szCs w:val="28"/>
          <w:lang w:eastAsia="zh-CN"/>
        </w:rPr>
        <w:t>。</w:t>
      </w:r>
    </w:p>
    <w:p w14:paraId="16C9F5FA">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lang w:val="en-US" w:eastAsia="zh-CN"/>
        </w:rPr>
        <w:t>三、</w:t>
      </w:r>
      <w:r>
        <w:rPr>
          <w:rFonts w:hint="eastAsia" w:asciiTheme="majorEastAsia" w:hAnsiTheme="majorEastAsia" w:eastAsiaTheme="majorEastAsia" w:cstheme="majorEastAsia"/>
          <w:b/>
          <w:bCs/>
          <w:sz w:val="28"/>
          <w:szCs w:val="28"/>
        </w:rPr>
        <w:t>联系方式</w:t>
      </w:r>
    </w:p>
    <w:p w14:paraId="4CF4171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采购单位</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val="en-US" w:eastAsia="zh-CN"/>
        </w:rPr>
        <w:t>安徽和州智创产业园发展有限公司</w:t>
      </w:r>
    </w:p>
    <w:p w14:paraId="577DA59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联</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系</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t>人：</w:t>
      </w:r>
      <w:r>
        <w:rPr>
          <w:rFonts w:hint="eastAsia" w:asciiTheme="majorEastAsia" w:hAnsiTheme="majorEastAsia" w:eastAsiaTheme="majorEastAsia" w:cstheme="majorEastAsia"/>
          <w:sz w:val="28"/>
          <w:szCs w:val="28"/>
          <w:lang w:val="en-US" w:eastAsia="zh-CN"/>
        </w:rPr>
        <w:t xml:space="preserve">张工   杨工 </w:t>
      </w:r>
      <w:r>
        <w:rPr>
          <w:rFonts w:hint="eastAsia" w:asciiTheme="majorEastAsia" w:hAnsiTheme="majorEastAsia" w:eastAsiaTheme="majorEastAsia" w:cstheme="majorEastAsia"/>
          <w:sz w:val="28"/>
          <w:szCs w:val="28"/>
        </w:rPr>
        <w:t xml:space="preserve">             </w:t>
      </w:r>
    </w:p>
    <w:p w14:paraId="25FFCF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ajorEastAsia" w:hAnsiTheme="majorEastAsia" w:eastAsiaTheme="majorEastAsia" w:cstheme="majorEastAsia"/>
          <w:sz w:val="28"/>
          <w:szCs w:val="28"/>
          <w:lang w:val="en-US" w:eastAsia="zh-CN"/>
        </w:rPr>
        <w:t>电话：0555-3868702    0555-3868715</w:t>
      </w:r>
    </w:p>
    <w:p w14:paraId="53B1639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olor w:val="000000" w:themeColor="text1"/>
          <w:sz w:val="30"/>
          <w:szCs w:val="30"/>
          <w:highlight w:val="none"/>
          <w14:textFill>
            <w14:solidFill>
              <w14:schemeClr w14:val="tx1"/>
            </w14:solidFill>
          </w14:textFill>
        </w:rPr>
      </w:pPr>
    </w:p>
    <w:p w14:paraId="65F9232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sz w:val="32"/>
          <w:szCs w:val="32"/>
        </w:rPr>
      </w:pPr>
    </w:p>
    <w:p w14:paraId="729238AD">
      <w:pPr>
        <w:pStyle w:val="9"/>
        <w:rPr>
          <w:rFonts w:hint="eastAsia" w:eastAsia="仿宋_GB2312"/>
          <w:lang w:val="en-US" w:eastAsia="zh-CN"/>
        </w:rPr>
      </w:pPr>
    </w:p>
    <w:p w14:paraId="3894D5AC">
      <w:pPr>
        <w:rPr>
          <w:rFonts w:hint="eastAsia" w:eastAsia="仿宋_GB2312"/>
          <w:lang w:val="en-US" w:eastAsia="zh-CN"/>
        </w:rPr>
      </w:pPr>
    </w:p>
    <w:p w14:paraId="61C3E040">
      <w:pPr>
        <w:rPr>
          <w:rFonts w:hint="eastAsia" w:eastAsia="仿宋_GB2312"/>
          <w:lang w:val="en-US" w:eastAsia="zh-CN"/>
        </w:rPr>
      </w:pPr>
    </w:p>
    <w:p w14:paraId="264515F0">
      <w:pPr>
        <w:rPr>
          <w:rFonts w:hint="eastAsia" w:eastAsia="仿宋_GB2312"/>
          <w:lang w:val="en-US" w:eastAsia="zh-CN"/>
        </w:rPr>
      </w:pPr>
    </w:p>
    <w:p w14:paraId="4492FFD9">
      <w:pPr>
        <w:rPr>
          <w:rFonts w:hint="eastAsia" w:eastAsia="仿宋_GB2312"/>
          <w:lang w:val="en-US" w:eastAsia="zh-CN"/>
        </w:rPr>
      </w:pPr>
    </w:p>
    <w:p w14:paraId="09054C0C">
      <w:pPr>
        <w:rPr>
          <w:rFonts w:hint="eastAsia" w:eastAsia="仿宋_GB2312"/>
          <w:lang w:val="en-US" w:eastAsia="zh-CN"/>
        </w:rPr>
      </w:pPr>
    </w:p>
    <w:p w14:paraId="0D05CECA">
      <w:pPr>
        <w:rPr>
          <w:rFonts w:hint="eastAsia" w:eastAsia="仿宋_GB2312"/>
          <w:lang w:val="en-US" w:eastAsia="zh-CN"/>
        </w:rPr>
      </w:pPr>
    </w:p>
    <w:p w14:paraId="0B20588C">
      <w:pPr>
        <w:rPr>
          <w:rFonts w:hint="eastAsia" w:eastAsia="仿宋_GB2312"/>
          <w:lang w:val="en-US" w:eastAsia="zh-CN"/>
        </w:rPr>
      </w:pPr>
    </w:p>
    <w:p w14:paraId="1E3B2665">
      <w:pPr>
        <w:rPr>
          <w:rFonts w:hint="eastAsia" w:eastAsia="仿宋_GB2312"/>
          <w:lang w:val="en-US" w:eastAsia="zh-CN"/>
        </w:rPr>
      </w:pPr>
    </w:p>
    <w:p w14:paraId="07449097">
      <w:pPr>
        <w:rPr>
          <w:rFonts w:hint="eastAsia" w:eastAsia="仿宋_GB2312"/>
          <w:lang w:val="en-US" w:eastAsia="zh-CN"/>
        </w:rPr>
      </w:pPr>
    </w:p>
    <w:p w14:paraId="6EBA57E5">
      <w:pPr>
        <w:rPr>
          <w:rFonts w:hint="eastAsia" w:eastAsia="仿宋_GB2312"/>
          <w:lang w:val="en-US" w:eastAsia="zh-CN"/>
        </w:rPr>
      </w:pPr>
    </w:p>
    <w:p w14:paraId="475F74BC">
      <w:pPr>
        <w:rPr>
          <w:rFonts w:hint="eastAsia" w:eastAsia="仿宋_GB2312"/>
          <w:lang w:val="en-US" w:eastAsia="zh-CN"/>
        </w:rPr>
      </w:pPr>
    </w:p>
    <w:p w14:paraId="258E96EF">
      <w:pPr>
        <w:rPr>
          <w:rFonts w:hint="eastAsia" w:eastAsia="仿宋_GB2312"/>
          <w:lang w:val="en-US" w:eastAsia="zh-CN"/>
        </w:rPr>
      </w:pPr>
    </w:p>
    <w:p w14:paraId="755C0555">
      <w:pPr>
        <w:rPr>
          <w:rFonts w:hint="eastAsia" w:eastAsia="仿宋_GB2312"/>
          <w:lang w:val="en-US" w:eastAsia="zh-CN"/>
        </w:rPr>
      </w:pPr>
    </w:p>
    <w:p w14:paraId="1004390B">
      <w:pPr>
        <w:rPr>
          <w:rFonts w:hint="eastAsia" w:eastAsia="仿宋_GB2312"/>
          <w:lang w:val="en-US" w:eastAsia="zh-CN"/>
        </w:rPr>
      </w:pPr>
    </w:p>
    <w:p w14:paraId="4EAE37EE">
      <w:pPr>
        <w:rPr>
          <w:rFonts w:hint="eastAsia" w:eastAsia="仿宋_GB2312"/>
          <w:lang w:val="en-US" w:eastAsia="zh-CN"/>
        </w:rPr>
      </w:pPr>
    </w:p>
    <w:p w14:paraId="1A7D552B">
      <w:pPr>
        <w:rPr>
          <w:rFonts w:hint="eastAsia"/>
        </w:rPr>
      </w:pPr>
    </w:p>
    <w:p w14:paraId="54A2B870">
      <w:pPr>
        <w:keepNext w:val="0"/>
        <w:keepLines w:val="0"/>
        <w:pageBreakBefore w:val="0"/>
        <w:widowControl w:val="0"/>
        <w:kinsoku/>
        <w:wordWrap/>
        <w:overflowPunct/>
        <w:topLinePunct w:val="0"/>
        <w:autoSpaceDE/>
        <w:autoSpaceDN/>
        <w:bidi w:val="0"/>
        <w:adjustRightInd/>
        <w:snapToGrid/>
        <w:spacing w:before="0" w:after="360" w:line="240" w:lineRule="atLeast"/>
        <w:ind w:firstLine="321" w:firstLineChars="1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下游供应商采购账期业务尽职调查服务采购需求</w:t>
      </w:r>
    </w:p>
    <w:p w14:paraId="78F616C1">
      <w:pPr>
        <w:keepNext w:val="0"/>
        <w:keepLines w:val="0"/>
        <w:pageBreakBefore w:val="0"/>
        <w:widowControl w:val="0"/>
        <w:kinsoku/>
        <w:wordWrap/>
        <w:overflowPunct/>
        <w:topLinePunct w:val="0"/>
        <w:autoSpaceDE/>
        <w:autoSpaceDN/>
        <w:bidi w:val="0"/>
        <w:adjustRightInd/>
        <w:snapToGrid/>
        <w:spacing w:before="320" w:after="16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一、 供应商资质与团队配置要求</w:t>
      </w:r>
    </w:p>
    <w:p w14:paraId="5035A0C6">
      <w:pPr>
        <w:keepNext w:val="0"/>
        <w:keepLines w:val="0"/>
        <w:pageBreakBefore w:val="0"/>
        <w:widowControl w:val="0"/>
        <w:kinsoku/>
        <w:wordWrap/>
        <w:overflowPunct/>
        <w:topLinePunct w:val="0"/>
        <w:autoSpaceDE/>
        <w:autoSpaceDN/>
        <w:bidi w:val="0"/>
        <w:adjustRightInd/>
        <w:snapToGrid/>
        <w:spacing w:before="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为保障本次采购账期业务的安全开展，供应商需满足以下基础要求：</w:t>
      </w:r>
    </w:p>
    <w:p w14:paraId="7D24D96A">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 供应商机构资质（含财务与法律资质）</w:t>
      </w:r>
    </w:p>
    <w:p w14:paraId="5931F59C">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基础资质：供应商须提供合法有效的《营业执照》，能够独立承担民事责任，具备开展企业</w:t>
      </w:r>
      <w:r>
        <w:rPr>
          <w:rFonts w:hint="eastAsia" w:ascii="仿宋_GB2312" w:hAnsi="仿宋_GB2312" w:eastAsia="仿宋_GB2312" w:cs="仿宋_GB2312"/>
          <w:b w:val="0"/>
          <w:sz w:val="28"/>
          <w:szCs w:val="28"/>
          <w:lang w:val="en-US" w:eastAsia="zh-CN"/>
        </w:rPr>
        <w:t>综合</w:t>
      </w:r>
      <w:r>
        <w:rPr>
          <w:rFonts w:hint="eastAsia" w:ascii="仿宋_GB2312" w:hAnsi="仿宋_GB2312" w:eastAsia="仿宋_GB2312" w:cs="仿宋_GB2312"/>
          <w:b w:val="0"/>
          <w:sz w:val="28"/>
          <w:szCs w:val="28"/>
        </w:rPr>
        <w:t>风险核查、尽职调查、商务咨询相关</w:t>
      </w:r>
      <w:r>
        <w:rPr>
          <w:rFonts w:hint="eastAsia" w:ascii="仿宋_GB2312" w:hAnsi="仿宋_GB2312" w:eastAsia="仿宋_GB2312" w:cs="仿宋_GB2312"/>
          <w:b w:val="0"/>
          <w:sz w:val="28"/>
          <w:szCs w:val="28"/>
          <w:lang w:val="en-US" w:eastAsia="zh-CN"/>
        </w:rPr>
        <w:t>专业</w:t>
      </w:r>
      <w:r>
        <w:rPr>
          <w:rFonts w:hint="eastAsia" w:ascii="仿宋_GB2312" w:hAnsi="仿宋_GB2312" w:eastAsia="仿宋_GB2312" w:cs="仿宋_GB2312"/>
          <w:b w:val="0"/>
          <w:sz w:val="28"/>
          <w:szCs w:val="28"/>
        </w:rPr>
        <w:t>服务的经营能力。</w:t>
      </w:r>
    </w:p>
    <w:p w14:paraId="6CE8E6C6">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依法设立的会计师事务所</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lang w:val="en-US" w:eastAsia="zh-CN"/>
        </w:rPr>
        <w:t>需</w:t>
      </w:r>
      <w:r>
        <w:rPr>
          <w:rFonts w:hint="eastAsia" w:ascii="仿宋_GB2312" w:hAnsi="仿宋_GB2312" w:eastAsia="仿宋_GB2312" w:cs="仿宋_GB2312"/>
          <w:b w:val="0"/>
          <w:sz w:val="28"/>
          <w:szCs w:val="28"/>
        </w:rPr>
        <w:t>提供有效的《会计师事务所执业证书》</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rPr>
        <w:t>或依法设立的律师事务所</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lang w:val="en-US" w:eastAsia="zh-CN"/>
        </w:rPr>
        <w:t>需</w:t>
      </w:r>
      <w:r>
        <w:rPr>
          <w:rFonts w:hint="eastAsia" w:ascii="仿宋_GB2312" w:hAnsi="仿宋_GB2312" w:eastAsia="仿宋_GB2312" w:cs="仿宋_GB2312"/>
          <w:b w:val="0"/>
          <w:sz w:val="28"/>
          <w:szCs w:val="28"/>
        </w:rPr>
        <w:t>提供有效的《律师事务所执业许可证》</w:t>
      </w:r>
      <w:r>
        <w:rPr>
          <w:rFonts w:hint="eastAsia" w:ascii="仿宋_GB2312" w:hAnsi="仿宋_GB2312" w:eastAsia="仿宋_GB2312" w:cs="仿宋_GB2312"/>
          <w:b w:val="0"/>
          <w:sz w:val="28"/>
          <w:szCs w:val="28"/>
          <w:lang w:eastAsia="zh-CN"/>
        </w:rPr>
        <w:t>）</w:t>
      </w:r>
      <w:r>
        <w:rPr>
          <w:rFonts w:hint="eastAsia" w:ascii="仿宋_GB2312" w:hAnsi="仿宋_GB2312" w:eastAsia="仿宋_GB2312" w:cs="仿宋_GB2312"/>
          <w:b w:val="0"/>
          <w:sz w:val="28"/>
          <w:szCs w:val="28"/>
        </w:rPr>
        <w:t>或具备相关财务咨询、法律咨询资质的商务咨询机构均可参与</w:t>
      </w:r>
      <w:r>
        <w:rPr>
          <w:rFonts w:hint="eastAsia" w:ascii="仿宋_GB2312" w:hAnsi="仿宋_GB2312" w:eastAsia="仿宋_GB2312" w:cs="仿宋_GB2312"/>
          <w:b w:val="0"/>
          <w:sz w:val="28"/>
          <w:szCs w:val="28"/>
          <w:lang w:val="en-US" w:eastAsia="zh-CN"/>
        </w:rPr>
        <w:t>均可参与</w:t>
      </w:r>
      <w:r>
        <w:rPr>
          <w:rFonts w:hint="eastAsia" w:ascii="仿宋_GB2312" w:hAnsi="仿宋_GB2312" w:eastAsia="仿宋_GB2312" w:cs="仿宋_GB2312"/>
          <w:b w:val="0"/>
          <w:sz w:val="28"/>
          <w:szCs w:val="28"/>
        </w:rPr>
        <w:t>。</w:t>
      </w:r>
    </w:p>
    <w:p w14:paraId="2781953B">
      <w:pPr>
        <w:keepNext w:val="0"/>
        <w:keepLines w:val="0"/>
        <w:pageBreakBefore w:val="0"/>
        <w:widowControl w:val="0"/>
        <w:kinsoku/>
        <w:wordWrap/>
        <w:overflowPunct/>
        <w:topLinePunct w:val="0"/>
        <w:autoSpaceDE/>
        <w:autoSpaceDN/>
        <w:bidi w:val="0"/>
        <w:adjustRightInd/>
        <w:snapToGrid/>
        <w:spacing w:before="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 供应商需为本项目配备熟悉商贸企业业务模式的服务团队</w:t>
      </w:r>
      <w:r>
        <w:rPr>
          <w:rFonts w:hint="eastAsia" w:ascii="仿宋_GB2312" w:hAnsi="仿宋_GB2312" w:eastAsia="仿宋_GB2312" w:cs="仿宋_GB2312"/>
          <w:b w:val="0"/>
          <w:sz w:val="28"/>
          <w:szCs w:val="28"/>
        </w:rPr>
        <w:t>：</w:t>
      </w:r>
    </w:p>
    <w:p w14:paraId="3693249D">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项目负责人（1名）：具备3年以上企业风险核查或尽职调查项目主导经验，熟悉贸易类企业业务模式。须具备相关专业资质，能够统筹把控尽调质量与进度。</w:t>
      </w:r>
    </w:p>
    <w:p w14:paraId="1DB355D9">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专业核查人员（至少1名）：具备相关从业背景，能够配合负责人开展商事法律风险核查、企业财务数据核实或商贸业务真实性核查等专项工作。</w:t>
      </w:r>
    </w:p>
    <w:p w14:paraId="72EF7967">
      <w:pPr>
        <w:keepNext w:val="0"/>
        <w:keepLines w:val="0"/>
        <w:pageBreakBefore w:val="0"/>
        <w:widowControl w:val="0"/>
        <w:kinsoku/>
        <w:wordWrap/>
        <w:overflowPunct/>
        <w:topLinePunct w:val="0"/>
        <w:autoSpaceDE/>
        <w:autoSpaceDN/>
        <w:bidi w:val="0"/>
        <w:adjustRightInd/>
        <w:snapToGrid/>
        <w:spacing w:before="320" w:after="16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二、 团队配置与能力验证标准（含人员资质审查）</w:t>
      </w:r>
    </w:p>
    <w:p w14:paraId="3C97BB2E">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针对上述资质与团队配置要求，评标委员会将对供应商提供的证明材料进行审查。投标人须在响应文件中提供以下证明材料：</w:t>
      </w:r>
    </w:p>
    <w:p w14:paraId="405CA669">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 机构资质验证</w:t>
      </w:r>
    </w:p>
    <w:p w14:paraId="0D5715E0">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供应商提供材料：提供加盖投标人公章的《营业执照》及《执业许可证》（如适用）复印件。</w:t>
      </w:r>
    </w:p>
    <w:p w14:paraId="27362AA1">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评委验证方式：评委对证件复印件进行审查，确认加盖了公章且在有效期内即视为合格。</w:t>
      </w:r>
    </w:p>
    <w:p w14:paraId="6226A149">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 项目负责人资质与经验验证（核心审查项）</w:t>
      </w:r>
    </w:p>
    <w:p w14:paraId="24A25838">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供应商提供材料：</w:t>
      </w:r>
    </w:p>
    <w:p w14:paraId="4CF8083E">
      <w:pPr>
        <w:keepNext w:val="0"/>
        <w:keepLines w:val="0"/>
        <w:pageBreakBefore w:val="0"/>
        <w:widowControl w:val="0"/>
        <w:kinsoku/>
        <w:wordWrap/>
        <w:overflowPunct/>
        <w:topLinePunct w:val="0"/>
        <w:autoSpaceDE/>
        <w:autoSpaceDN/>
        <w:bidi w:val="0"/>
        <w:adjustRightInd/>
        <w:snapToGrid/>
        <w:spacing w:before="0" w:after="80" w:line="240" w:lineRule="atLeast"/>
        <w:ind w:left="420"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(1) 提供拟派项目负责人的《人员履历表》（需简述工作年限、参与过的项目名称及角色），加盖投标人公章。</w:t>
      </w:r>
    </w:p>
    <w:p w14:paraId="0CE78063">
      <w:pPr>
        <w:keepNext w:val="0"/>
        <w:keepLines w:val="0"/>
        <w:pageBreakBefore w:val="0"/>
        <w:widowControl w:val="0"/>
        <w:kinsoku/>
        <w:wordWrap/>
        <w:overflowPunct/>
        <w:topLinePunct w:val="0"/>
        <w:autoSpaceDE/>
        <w:autoSpaceDN/>
        <w:bidi w:val="0"/>
        <w:adjustRightInd/>
        <w:snapToGrid/>
        <w:spacing w:before="0" w:after="80" w:line="240" w:lineRule="atLeast"/>
        <w:ind w:left="420"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(2) 提供拟派项目负责人的专业资格证书复印件（如会计证、法律资格证书等），加盖投标人公章。</w:t>
      </w:r>
    </w:p>
    <w:p w14:paraId="3A8A73C7">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评委验证方式：评委对履历表及证书复印件进行审查。只要履历表体现“3年以上”相关经验，且提供的资格证书复印件加盖了公章、在有效期内，即视为符合要求。</w:t>
      </w:r>
    </w:p>
    <w:p w14:paraId="3D2E44AC">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 专业核查人员资质与能力验证</w:t>
      </w:r>
    </w:p>
    <w:p w14:paraId="593AE0E9">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供应商提供材料：</w:t>
      </w:r>
    </w:p>
    <w:p w14:paraId="0A4262EF">
      <w:pPr>
        <w:keepNext w:val="0"/>
        <w:keepLines w:val="0"/>
        <w:pageBreakBefore w:val="0"/>
        <w:widowControl w:val="0"/>
        <w:kinsoku/>
        <w:wordWrap/>
        <w:overflowPunct/>
        <w:topLinePunct w:val="0"/>
        <w:autoSpaceDE/>
        <w:autoSpaceDN/>
        <w:bidi w:val="0"/>
        <w:adjustRightInd/>
        <w:snapToGrid/>
        <w:spacing w:before="0" w:after="80" w:line="240" w:lineRule="atLeast"/>
        <w:ind w:left="420"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(1) 提供拟派专业核查人员的《人员履历表》（需简述从业背景及擅长的核查模块），加盖投标人公章。</w:t>
      </w:r>
    </w:p>
    <w:p w14:paraId="5DA17A28">
      <w:pPr>
        <w:keepNext w:val="0"/>
        <w:keepLines w:val="0"/>
        <w:pageBreakBefore w:val="0"/>
        <w:widowControl w:val="0"/>
        <w:kinsoku/>
        <w:wordWrap/>
        <w:overflowPunct/>
        <w:topLinePunct w:val="0"/>
        <w:autoSpaceDE/>
        <w:autoSpaceDN/>
        <w:bidi w:val="0"/>
        <w:adjustRightInd/>
        <w:snapToGrid/>
        <w:spacing w:before="0" w:after="80" w:line="240" w:lineRule="atLeast"/>
        <w:ind w:left="420"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(2) 提供拟派专业核查人员的相关资质证书复印件（如有则提供，如CPA、律师证、初中级会计师等），加盖投标人公章。</w:t>
      </w:r>
    </w:p>
    <w:p w14:paraId="7EEA998F">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委验证方式：评委对履历表及证书复印件进行审查。只要履历表体现具备商事法律、企业财务或商贸业务等核查背景，且加盖了公章，即视为符合要求。（注：辅助核查人员不作强制证书要求，有证书者优先认可）。</w:t>
      </w:r>
    </w:p>
    <w:p w14:paraId="0B1C0D4B">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 团队综合实战能力验证（客观评审项）</w:t>
      </w:r>
    </w:p>
    <w:p w14:paraId="67E8FEB0">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供应商提供材料：提供近3年内承接过的1-2个类似尽职调查或企业风险核查项目的合同关键页复印件（包含合同首页、服务内容页、签字盖章页，金额可隐去）。</w:t>
      </w:r>
    </w:p>
    <w:p w14:paraId="5CCF50F0">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评委验证方式：评委通过“数合同”进行客观核实。只要合同服务内容中体现了“尽职调查、风险核查、财务或法律排查”等相关字眼，且加盖了投标人公章，即证明该团队具备相应的实战能力。</w:t>
      </w:r>
    </w:p>
    <w:p w14:paraId="39473CBE">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5. 履约真实性合规兜底</w:t>
      </w:r>
    </w:p>
    <w:p w14:paraId="24D0422B">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供应商提供材料：出具《履约能力与真实性承诺函》（承诺拟派团队履历真实、提供的资质证书真实有效、具备履职能力且未处于失信状态），加盖投标人公章。</w:t>
      </w:r>
    </w:p>
    <w:p w14:paraId="6C4EAF09">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评委验证方式：评委核实是否提供该承诺函。有盖章承诺函即给分；若未提供，则视为不满足团队配置要求。</w:t>
      </w:r>
    </w:p>
    <w:p w14:paraId="33C6BC15">
      <w:pPr>
        <w:keepNext w:val="0"/>
        <w:keepLines w:val="0"/>
        <w:pageBreakBefore w:val="0"/>
        <w:widowControl w:val="0"/>
        <w:kinsoku/>
        <w:wordWrap/>
        <w:overflowPunct/>
        <w:topLinePunct w:val="0"/>
        <w:autoSpaceDE/>
        <w:autoSpaceDN/>
        <w:bidi w:val="0"/>
        <w:adjustRightInd/>
        <w:snapToGrid/>
        <w:spacing w:before="320" w:after="16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三、 尽职调查具体业务需求</w:t>
      </w:r>
    </w:p>
    <w:p w14:paraId="44ADBDAC">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本次尽调的核心目的是核实下游供应商的业务真实性、履约能力及潜在风险，中标供应商需完成以下核查工作并出具报告：</w:t>
      </w:r>
    </w:p>
    <w:p w14:paraId="139CD57F">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1. 基础主体与合规性核查</w:t>
      </w:r>
    </w:p>
    <w:p w14:paraId="0ECB922C">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核实下游供应商的工商登记信息、股权穿透情况及实际控制人身份，排查是否存在重大股权代持或隐性关联关系。</w:t>
      </w:r>
    </w:p>
    <w:p w14:paraId="4D5755FB">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核查企业当前的经营状态，通过公开渠道及实地走访，排查是否存在重大未决诉讼、行政处罚、失信被执行记录或经营异常名录等负面信息。</w:t>
      </w:r>
    </w:p>
    <w:p w14:paraId="6C0A9EAB">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2. 财务健康度与偿债能力评估</w:t>
      </w:r>
    </w:p>
    <w:p w14:paraId="79F3FE1C">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收集并审阅下游供应商近一至两年的财务报表及近期银行流水，重点核实其主营业务收入规模、应收账款周转率及现金流状况。</w:t>
      </w:r>
    </w:p>
    <w:p w14:paraId="0667632A">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评估其资产负债结构及短期偿债能力，判断其当前的资金链状况是否能够支撑我司给予的采购账期额度，防范资金链断裂风险。</w:t>
      </w:r>
    </w:p>
    <w:p w14:paraId="43B11642">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3. 商贸业务真实性与履约能力核查（含实地走访）</w:t>
      </w:r>
    </w:p>
    <w:p w14:paraId="6B7A7135">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业务模式核实：梳理下游供应商的上游采购渠道与下游销售渠道，核实其核心产品的购销合同、发票、物流单据及结算凭证，确保“合同、发票、资金、物流”四流一致。</w:t>
      </w:r>
    </w:p>
    <w:p w14:paraId="050D66AD">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货权与库存核查：针对涉及实体货物的业务，须派专人进行实地走访与现场盘点，核实其仓储协议、出入库单据，确认其具备真实的货物掌控能力及仓储管理能力。</w:t>
      </w:r>
    </w:p>
    <w:p w14:paraId="2708C3FE">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历史履约评价：了解该供应商过往与其他国企或大型企业的合作情况，评估其按期交货、质量达标及无违约纠纷的实际履约表现。</w:t>
      </w:r>
    </w:p>
    <w:p w14:paraId="53D8BA9F">
      <w:pPr>
        <w:keepNext w:val="0"/>
        <w:keepLines w:val="0"/>
        <w:pageBreakBefore w:val="0"/>
        <w:widowControl w:val="0"/>
        <w:kinsoku/>
        <w:wordWrap/>
        <w:overflowPunct/>
        <w:topLinePunct w:val="0"/>
        <w:autoSpaceDE/>
        <w:autoSpaceDN/>
        <w:bidi w:val="0"/>
        <w:adjustRightInd/>
        <w:snapToGrid/>
        <w:spacing w:before="200" w:after="80" w:line="240" w:lineRule="atLeas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4. 综合风险研判与报告出具</w:t>
      </w:r>
    </w:p>
    <w:p w14:paraId="24CED03C">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结合上述核查情况，对下游供应商的综合信用风险进行评级或出具明确的风险提示。</w:t>
      </w:r>
    </w:p>
    <w:p w14:paraId="3DB9062D">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针对我司给予的采购账期业务，提出具体的风控建议（如：建议账期天数、建议授信额度、需追加的担保措施或日常监控要点等）。</w:t>
      </w:r>
    </w:p>
    <w:p w14:paraId="4DB84C09">
      <w:pPr>
        <w:keepNext w:val="0"/>
        <w:keepLines w:val="0"/>
        <w:pageBreakBefore w:val="0"/>
        <w:widowControl w:val="0"/>
        <w:kinsoku/>
        <w:wordWrap/>
        <w:overflowPunct/>
        <w:topLinePunct w:val="0"/>
        <w:autoSpaceDE/>
        <w:autoSpaceDN/>
        <w:bidi w:val="0"/>
        <w:adjustRightInd/>
        <w:snapToGrid/>
        <w:spacing w:before="0" w:after="80" w:line="240" w:lineRule="atLeast"/>
        <w:ind w:firstLine="839"/>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val="0"/>
          <w:sz w:val="28"/>
          <w:szCs w:val="28"/>
        </w:rPr>
        <w:t>最终出具一份结构完整、结论清晰的《下游供应商采购账期业务尽职调查报告》。</w:t>
      </w:r>
    </w:p>
    <w:p w14:paraId="7A7218D4">
      <w:pPr>
        <w:pStyle w:val="9"/>
        <w:rPr>
          <w:rFonts w:hint="eastAsia"/>
        </w:rPr>
      </w:pPr>
    </w:p>
    <w:p w14:paraId="607F0297">
      <w:pPr>
        <w:rPr>
          <w:rFonts w:hint="eastAsia"/>
        </w:rPr>
      </w:pPr>
    </w:p>
    <w:p w14:paraId="63B52E21">
      <w:pPr>
        <w:pStyle w:val="9"/>
        <w:rPr>
          <w:rFonts w:hint="eastAsia"/>
        </w:rPr>
      </w:pPr>
    </w:p>
    <w:p w14:paraId="53E8E444">
      <w:pPr>
        <w:rPr>
          <w:rFonts w:hint="eastAsia"/>
        </w:rPr>
      </w:pPr>
    </w:p>
    <w:p w14:paraId="469780E3">
      <w:pPr>
        <w:pStyle w:val="9"/>
        <w:rPr>
          <w:rFonts w:hint="eastAsia"/>
        </w:rPr>
      </w:pPr>
    </w:p>
    <w:p w14:paraId="0ECF1B0D">
      <w:pPr>
        <w:rPr>
          <w:rFonts w:hint="eastAsia"/>
        </w:rPr>
      </w:pPr>
    </w:p>
    <w:p w14:paraId="49633228">
      <w:pPr>
        <w:pStyle w:val="9"/>
        <w:rPr>
          <w:rFonts w:hint="eastAsia"/>
        </w:rPr>
      </w:pPr>
    </w:p>
    <w:p w14:paraId="73BB20C8">
      <w:pPr>
        <w:rPr>
          <w:rFonts w:hint="eastAsia"/>
        </w:rPr>
      </w:pPr>
    </w:p>
    <w:p w14:paraId="6FC6F8D0">
      <w:pPr>
        <w:rPr>
          <w:rFonts w:hint="eastAsia"/>
        </w:rPr>
      </w:pPr>
    </w:p>
    <w:p w14:paraId="07945958">
      <w:pPr>
        <w:rPr>
          <w:rFonts w:hint="eastAsia"/>
        </w:rPr>
      </w:pPr>
    </w:p>
    <w:p w14:paraId="5488EB8C">
      <w:pPr>
        <w:rPr>
          <w:rFonts w:hint="eastAsia"/>
        </w:rPr>
      </w:pPr>
    </w:p>
    <w:p w14:paraId="544387D9">
      <w:pPr>
        <w:rPr>
          <w:rFonts w:hint="eastAsia"/>
        </w:rPr>
      </w:pPr>
    </w:p>
    <w:p w14:paraId="4531D60A">
      <w:pPr>
        <w:rPr>
          <w:rFonts w:hint="eastAsia"/>
        </w:rPr>
      </w:pPr>
    </w:p>
    <w:p w14:paraId="1F657009">
      <w:pPr>
        <w:rPr>
          <w:rFonts w:hint="eastAsia"/>
        </w:rPr>
      </w:pPr>
    </w:p>
    <w:p w14:paraId="15F00EFC">
      <w:pPr>
        <w:rPr>
          <w:rFonts w:hint="eastAsia"/>
        </w:rPr>
      </w:pPr>
    </w:p>
    <w:p w14:paraId="74C8B8E0">
      <w:pPr>
        <w:rPr>
          <w:rFonts w:hint="eastAsia"/>
        </w:rPr>
      </w:pPr>
    </w:p>
    <w:p w14:paraId="41C3F889">
      <w:pPr>
        <w:rPr>
          <w:rFonts w:hint="eastAsia"/>
        </w:rPr>
      </w:pPr>
    </w:p>
    <w:p w14:paraId="29842DD7">
      <w:pPr>
        <w:rPr>
          <w:rFonts w:hint="eastAsia"/>
        </w:rPr>
      </w:pPr>
    </w:p>
    <w:p w14:paraId="1C7411BA">
      <w:pPr>
        <w:rPr>
          <w:rFonts w:hint="eastAsia"/>
        </w:rPr>
      </w:pPr>
    </w:p>
    <w:p w14:paraId="4F5D8822">
      <w:pPr>
        <w:rPr>
          <w:rFonts w:hint="eastAsia"/>
        </w:rPr>
      </w:pPr>
    </w:p>
    <w:p w14:paraId="238C8B7C">
      <w:pPr>
        <w:rPr>
          <w:rFonts w:hint="eastAsia"/>
        </w:rPr>
      </w:pPr>
    </w:p>
    <w:p w14:paraId="13D433C8">
      <w:pPr>
        <w:pStyle w:val="9"/>
        <w:rPr>
          <w:rFonts w:hint="eastAsia"/>
        </w:rPr>
      </w:pPr>
    </w:p>
    <w:p w14:paraId="63F81EEC">
      <w:pPr>
        <w:pStyle w:val="9"/>
        <w:rPr>
          <w:rFonts w:hint="eastAsia"/>
        </w:rPr>
      </w:pPr>
    </w:p>
    <w:p w14:paraId="0419BD3D">
      <w:pPr>
        <w:keepNext w:val="0"/>
        <w:keepLines w:val="0"/>
        <w:pageBreakBefore w:val="0"/>
        <w:widowControl w:val="0"/>
        <w:kinsoku/>
        <w:wordWrap/>
        <w:overflowPunct/>
        <w:topLinePunct w:val="0"/>
        <w:autoSpaceDE/>
        <w:autoSpaceDN/>
        <w:bidi w:val="0"/>
        <w:adjustRightInd/>
        <w:snapToGrid/>
        <w:spacing w:line="400" w:lineRule="exact"/>
        <w:textAlignment w:val="auto"/>
        <w:rPr>
          <w:b/>
          <w:bCs/>
          <w:sz w:val="32"/>
          <w:szCs w:val="32"/>
        </w:rPr>
      </w:pPr>
      <w:r>
        <w:rPr>
          <w:rFonts w:hint="eastAsia"/>
          <w:b/>
          <w:bCs/>
          <w:sz w:val="32"/>
          <w:szCs w:val="32"/>
        </w:rPr>
        <w:t>附件</w:t>
      </w:r>
      <w:r>
        <w:rPr>
          <w:rFonts w:hint="eastAsia"/>
          <w:b/>
          <w:bCs/>
          <w:sz w:val="32"/>
          <w:szCs w:val="32"/>
          <w:lang w:val="en-US" w:eastAsia="zh-CN"/>
        </w:rPr>
        <w:t>1</w:t>
      </w:r>
      <w:r>
        <w:rPr>
          <w:rFonts w:hint="eastAsia"/>
          <w:b/>
          <w:bCs/>
          <w:sz w:val="32"/>
          <w:szCs w:val="32"/>
        </w:rPr>
        <w:t>：</w:t>
      </w:r>
    </w:p>
    <w:p w14:paraId="46BC69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sz w:val="44"/>
          <w:szCs w:val="44"/>
        </w:rPr>
      </w:pPr>
      <w:r>
        <w:rPr>
          <w:rFonts w:hint="eastAsia"/>
          <w:b/>
          <w:bCs/>
          <w:sz w:val="44"/>
          <w:szCs w:val="44"/>
        </w:rPr>
        <w:t>报价单</w:t>
      </w:r>
    </w:p>
    <w:tbl>
      <w:tblPr>
        <w:tblStyle w:val="11"/>
        <w:tblpPr w:leftFromText="180" w:rightFromText="180" w:vertAnchor="text" w:horzAnchor="page" w:tblpX="2239" w:tblpY="304"/>
        <w:tblOverlap w:val="never"/>
        <w:tblW w:w="8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0"/>
        <w:gridCol w:w="3235"/>
        <w:gridCol w:w="1500"/>
      </w:tblGrid>
      <w:tr w14:paraId="0635E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350" w:type="dxa"/>
            <w:vAlign w:val="center"/>
          </w:tcPr>
          <w:p w14:paraId="2C3AE8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sz w:val="28"/>
                <w:szCs w:val="28"/>
              </w:rPr>
              <w:t>项目名称</w:t>
            </w:r>
          </w:p>
        </w:tc>
        <w:tc>
          <w:tcPr>
            <w:tcW w:w="4735" w:type="dxa"/>
            <w:gridSpan w:val="2"/>
            <w:vAlign w:val="center"/>
          </w:tcPr>
          <w:p w14:paraId="348F3A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asciiTheme="majorEastAsia" w:hAnsiTheme="majorEastAsia" w:eastAsiaTheme="majorEastAsia" w:cstheme="majorEastAsia"/>
                <w:sz w:val="28"/>
                <w:szCs w:val="28"/>
                <w:lang w:val="en-US" w:eastAsia="zh-CN"/>
              </w:rPr>
              <w:t>下游供应商采购账期业务尽职调查服务</w:t>
            </w:r>
          </w:p>
        </w:tc>
      </w:tr>
      <w:tr w14:paraId="1B82B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3350" w:type="dxa"/>
            <w:vAlign w:val="center"/>
          </w:tcPr>
          <w:p w14:paraId="716E84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sz w:val="28"/>
                <w:szCs w:val="28"/>
              </w:rPr>
              <w:t>供应商</w:t>
            </w:r>
          </w:p>
          <w:p w14:paraId="621E41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sz w:val="28"/>
                <w:szCs w:val="28"/>
              </w:rPr>
              <w:t>名称</w:t>
            </w:r>
          </w:p>
        </w:tc>
        <w:tc>
          <w:tcPr>
            <w:tcW w:w="4735" w:type="dxa"/>
            <w:gridSpan w:val="2"/>
            <w:vAlign w:val="center"/>
          </w:tcPr>
          <w:p w14:paraId="40EAC1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u w:val="single"/>
              </w:rPr>
            </w:pPr>
          </w:p>
        </w:tc>
      </w:tr>
      <w:tr w14:paraId="3086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3350" w:type="dxa"/>
            <w:vAlign w:val="center"/>
          </w:tcPr>
          <w:p w14:paraId="13DA1E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lang w:val="en-US" w:eastAsia="zh-CN"/>
              </w:rPr>
            </w:pPr>
            <w:r>
              <w:rPr>
                <w:rFonts w:hint="eastAsia"/>
                <w:sz w:val="28"/>
                <w:szCs w:val="28"/>
                <w:lang w:val="en-US" w:eastAsia="zh-CN"/>
              </w:rPr>
              <w:t>报价</w:t>
            </w:r>
            <w:r>
              <w:rPr>
                <w:rFonts w:hint="eastAsia"/>
                <w:sz w:val="28"/>
                <w:szCs w:val="28"/>
              </w:rPr>
              <w:t>（人民币）</w:t>
            </w:r>
          </w:p>
        </w:tc>
        <w:tc>
          <w:tcPr>
            <w:tcW w:w="3235" w:type="dxa"/>
            <w:vAlign w:val="center"/>
          </w:tcPr>
          <w:p w14:paraId="3397E2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Theme="minorEastAsia"/>
                <w:sz w:val="28"/>
                <w:szCs w:val="28"/>
                <w:lang w:val="en-US" w:eastAsia="zh-CN"/>
              </w:rPr>
            </w:pPr>
            <w:r>
              <w:rPr>
                <w:rFonts w:hint="eastAsia"/>
                <w:sz w:val="28"/>
                <w:szCs w:val="28"/>
                <w:lang w:val="en-US" w:eastAsia="zh-CN"/>
              </w:rPr>
              <w:t>小</w:t>
            </w:r>
            <w:r>
              <w:rPr>
                <w:rFonts w:hint="eastAsia"/>
                <w:sz w:val="28"/>
                <w:szCs w:val="28"/>
              </w:rPr>
              <w:t>写：</w:t>
            </w:r>
            <w:r>
              <w:rPr>
                <w:rFonts w:hint="eastAsia"/>
                <w:sz w:val="28"/>
                <w:szCs w:val="28"/>
                <w:lang w:val="en-US" w:eastAsia="zh-CN"/>
              </w:rPr>
              <w:t xml:space="preserve">        元</w:t>
            </w:r>
          </w:p>
          <w:p w14:paraId="79B988C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Theme="minorEastAsia"/>
                <w:sz w:val="28"/>
                <w:szCs w:val="28"/>
                <w:lang w:val="en-US" w:eastAsia="zh-CN"/>
              </w:rPr>
            </w:pPr>
            <w:r>
              <w:rPr>
                <w:rFonts w:hint="eastAsia"/>
                <w:sz w:val="28"/>
                <w:szCs w:val="28"/>
                <w:lang w:val="en-US" w:eastAsia="zh-CN"/>
              </w:rPr>
              <w:t>大</w:t>
            </w:r>
            <w:r>
              <w:rPr>
                <w:rFonts w:hint="eastAsia"/>
                <w:sz w:val="28"/>
                <w:szCs w:val="28"/>
              </w:rPr>
              <w:t>写</w:t>
            </w:r>
            <w:r>
              <w:rPr>
                <w:rFonts w:hint="eastAsia"/>
                <w:sz w:val="28"/>
                <w:szCs w:val="28"/>
                <w:lang w:eastAsia="zh-CN"/>
              </w:rPr>
              <w:t>：</w:t>
            </w:r>
            <w:r>
              <w:rPr>
                <w:rFonts w:hint="eastAsia"/>
                <w:sz w:val="28"/>
                <w:szCs w:val="28"/>
                <w:lang w:val="en-US" w:eastAsia="zh-CN"/>
              </w:rPr>
              <w:t xml:space="preserve">        元</w:t>
            </w:r>
          </w:p>
        </w:tc>
        <w:tc>
          <w:tcPr>
            <w:tcW w:w="1500" w:type="dxa"/>
            <w:vAlign w:val="center"/>
          </w:tcPr>
          <w:p w14:paraId="2C5C367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8"/>
                <w:szCs w:val="28"/>
                <w:u w:val="none"/>
                <w:lang w:val="en-US" w:eastAsia="zh-CN"/>
              </w:rPr>
            </w:pPr>
            <w:r>
              <w:rPr>
                <w:rFonts w:hint="eastAsia"/>
                <w:sz w:val="28"/>
                <w:szCs w:val="28"/>
                <w:u w:val="none"/>
                <w:lang w:val="en-US" w:eastAsia="zh-CN"/>
              </w:rPr>
              <w:t>注：不得超过限价</w:t>
            </w:r>
          </w:p>
        </w:tc>
      </w:tr>
      <w:tr w14:paraId="34FD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3350" w:type="dxa"/>
            <w:vAlign w:val="center"/>
          </w:tcPr>
          <w:p w14:paraId="29E4CC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Theme="minorEastAsia"/>
                <w:sz w:val="28"/>
                <w:szCs w:val="28"/>
                <w:lang w:val="en-US" w:eastAsia="zh-CN"/>
              </w:rPr>
            </w:pPr>
            <w:r>
              <w:rPr>
                <w:rFonts w:hint="eastAsia"/>
                <w:sz w:val="28"/>
                <w:szCs w:val="28"/>
                <w:lang w:val="en-US" w:eastAsia="zh-CN"/>
              </w:rPr>
              <w:t>备注：</w:t>
            </w:r>
          </w:p>
        </w:tc>
        <w:tc>
          <w:tcPr>
            <w:tcW w:w="4735" w:type="dxa"/>
            <w:gridSpan w:val="2"/>
            <w:vAlign w:val="center"/>
          </w:tcPr>
          <w:p w14:paraId="06AC924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sz w:val="28"/>
                <w:szCs w:val="28"/>
                <w:lang w:val="en-US" w:eastAsia="zh-CN"/>
              </w:rPr>
            </w:pPr>
          </w:p>
        </w:tc>
      </w:tr>
    </w:tbl>
    <w:p w14:paraId="6C114FE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szCs w:val="28"/>
        </w:rPr>
      </w:pPr>
    </w:p>
    <w:p w14:paraId="455856A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sz w:val="28"/>
          <w:szCs w:val="28"/>
        </w:rPr>
      </w:pPr>
      <w:r>
        <w:rPr>
          <w:rFonts w:hint="eastAsia"/>
          <w:sz w:val="28"/>
          <w:szCs w:val="28"/>
        </w:rPr>
        <w:t>若贵单位能选择我</w:t>
      </w:r>
      <w:r>
        <w:rPr>
          <w:rFonts w:hint="eastAsia"/>
          <w:sz w:val="28"/>
          <w:szCs w:val="28"/>
          <w:lang w:val="en-US" w:eastAsia="zh-CN"/>
        </w:rPr>
        <w:t>司</w:t>
      </w:r>
      <w:r>
        <w:rPr>
          <w:rFonts w:hint="eastAsia"/>
          <w:sz w:val="28"/>
          <w:szCs w:val="28"/>
        </w:rPr>
        <w:t>作为此次</w:t>
      </w:r>
      <w:r>
        <w:rPr>
          <w:rFonts w:hint="eastAsia" w:asciiTheme="majorEastAsia" w:hAnsiTheme="majorEastAsia" w:eastAsiaTheme="majorEastAsia" w:cstheme="majorEastAsia"/>
          <w:sz w:val="28"/>
          <w:szCs w:val="28"/>
          <w:lang w:val="en-US" w:eastAsia="zh-CN"/>
        </w:rPr>
        <w:t>下游供应商采购账期业务尽职调查服务</w:t>
      </w:r>
      <w:bookmarkStart w:id="0" w:name="_GoBack"/>
      <w:bookmarkEnd w:id="0"/>
      <w:r>
        <w:rPr>
          <w:rFonts w:hint="eastAsia"/>
          <w:sz w:val="28"/>
          <w:szCs w:val="28"/>
        </w:rPr>
        <w:t>的供应商，我单位将承诺会按照公告的要求</w:t>
      </w:r>
      <w:r>
        <w:rPr>
          <w:rFonts w:hint="eastAsia"/>
          <w:sz w:val="28"/>
          <w:szCs w:val="28"/>
          <w:lang w:val="en-US" w:eastAsia="zh-CN"/>
        </w:rPr>
        <w:t>履约。</w:t>
      </w:r>
    </w:p>
    <w:p w14:paraId="5B5C7FFA">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rPr>
          <w:sz w:val="28"/>
          <w:szCs w:val="28"/>
        </w:rPr>
      </w:pPr>
    </w:p>
    <w:p w14:paraId="2B6A9BDC">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rPr>
          <w:rFonts w:hint="eastAsia"/>
          <w:sz w:val="28"/>
          <w:szCs w:val="28"/>
        </w:rPr>
      </w:pPr>
    </w:p>
    <w:p w14:paraId="5460B772">
      <w:pPr>
        <w:keepNext w:val="0"/>
        <w:keepLines w:val="0"/>
        <w:pageBreakBefore w:val="0"/>
        <w:widowControl w:val="0"/>
        <w:kinsoku/>
        <w:wordWrap/>
        <w:overflowPunct/>
        <w:topLinePunct w:val="0"/>
        <w:autoSpaceDE/>
        <w:autoSpaceDN/>
        <w:bidi w:val="0"/>
        <w:adjustRightInd/>
        <w:snapToGrid/>
        <w:spacing w:line="400" w:lineRule="exact"/>
        <w:ind w:firstLine="2800" w:firstLineChars="1000"/>
        <w:textAlignment w:val="auto"/>
        <w:rPr>
          <w:sz w:val="28"/>
          <w:szCs w:val="28"/>
        </w:rPr>
      </w:pPr>
      <w:r>
        <w:rPr>
          <w:rFonts w:hint="eastAsia"/>
          <w:sz w:val="28"/>
          <w:szCs w:val="28"/>
        </w:rPr>
        <w:t>供应商（盖章）：</w:t>
      </w:r>
    </w:p>
    <w:p w14:paraId="0D1702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8"/>
          <w:szCs w:val="28"/>
        </w:rPr>
      </w:pPr>
      <w:r>
        <w:rPr>
          <w:rFonts w:hint="eastAsia"/>
          <w:sz w:val="28"/>
          <w:szCs w:val="28"/>
        </w:rPr>
        <w:t xml:space="preserve">                          日期：    年   月   日</w:t>
      </w:r>
    </w:p>
    <w:p w14:paraId="4A4D80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DC286C94-01CA-452E-8DBF-AAC341B40122}"/>
  </w:font>
  <w:font w:name="方正小标宋简体">
    <w:panose1 w:val="02000000000000000000"/>
    <w:charset w:val="86"/>
    <w:family w:val="script"/>
    <w:pitch w:val="default"/>
    <w:sig w:usb0="00000001" w:usb1="08000000" w:usb2="00000000" w:usb3="00000000" w:csb0="00040000" w:csb1="00000000"/>
    <w:embedRegular r:id="rId2" w:fontKey="{4B0DBDD9-A31F-4F69-9729-841B80B6D4E7}"/>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Mzk3ZmVlYjRlYjdlNGQ1YThlYTNkYTg2ZTM1MTEifQ=="/>
  </w:docVars>
  <w:rsids>
    <w:rsidRoot w:val="00C60B34"/>
    <w:rsid w:val="00017E53"/>
    <w:rsid w:val="00032C6F"/>
    <w:rsid w:val="000473DB"/>
    <w:rsid w:val="00054948"/>
    <w:rsid w:val="00060213"/>
    <w:rsid w:val="00062142"/>
    <w:rsid w:val="00085DA1"/>
    <w:rsid w:val="0008718D"/>
    <w:rsid w:val="000879F4"/>
    <w:rsid w:val="000A73FD"/>
    <w:rsid w:val="000C56D4"/>
    <w:rsid w:val="000F47E7"/>
    <w:rsid w:val="00120815"/>
    <w:rsid w:val="00145854"/>
    <w:rsid w:val="00173AF8"/>
    <w:rsid w:val="00177386"/>
    <w:rsid w:val="00186955"/>
    <w:rsid w:val="001A601C"/>
    <w:rsid w:val="001B6980"/>
    <w:rsid w:val="001C4C55"/>
    <w:rsid w:val="001D4E65"/>
    <w:rsid w:val="00206D7E"/>
    <w:rsid w:val="00214DA9"/>
    <w:rsid w:val="00224B8D"/>
    <w:rsid w:val="00224E3F"/>
    <w:rsid w:val="00227D6D"/>
    <w:rsid w:val="00250692"/>
    <w:rsid w:val="00253642"/>
    <w:rsid w:val="00254AA4"/>
    <w:rsid w:val="0027281D"/>
    <w:rsid w:val="00277DB9"/>
    <w:rsid w:val="00286E7F"/>
    <w:rsid w:val="002918E9"/>
    <w:rsid w:val="00295982"/>
    <w:rsid w:val="002A02FB"/>
    <w:rsid w:val="002B345B"/>
    <w:rsid w:val="002C0387"/>
    <w:rsid w:val="002C1D1A"/>
    <w:rsid w:val="002C3481"/>
    <w:rsid w:val="002C5594"/>
    <w:rsid w:val="002D27CE"/>
    <w:rsid w:val="00302F6F"/>
    <w:rsid w:val="00305590"/>
    <w:rsid w:val="00312D20"/>
    <w:rsid w:val="00316BBF"/>
    <w:rsid w:val="00365E8B"/>
    <w:rsid w:val="003701A9"/>
    <w:rsid w:val="00373BAB"/>
    <w:rsid w:val="00396D27"/>
    <w:rsid w:val="003A7145"/>
    <w:rsid w:val="003C6AE1"/>
    <w:rsid w:val="003E64D6"/>
    <w:rsid w:val="003F55DC"/>
    <w:rsid w:val="004229D8"/>
    <w:rsid w:val="0044237C"/>
    <w:rsid w:val="00453BD9"/>
    <w:rsid w:val="00456E78"/>
    <w:rsid w:val="00457C36"/>
    <w:rsid w:val="004633E9"/>
    <w:rsid w:val="004726C8"/>
    <w:rsid w:val="004C295E"/>
    <w:rsid w:val="004E704B"/>
    <w:rsid w:val="004F64DF"/>
    <w:rsid w:val="004F72A1"/>
    <w:rsid w:val="004F7688"/>
    <w:rsid w:val="00512DFA"/>
    <w:rsid w:val="00515DEA"/>
    <w:rsid w:val="005203CA"/>
    <w:rsid w:val="00546064"/>
    <w:rsid w:val="0055676C"/>
    <w:rsid w:val="00580D8A"/>
    <w:rsid w:val="00591997"/>
    <w:rsid w:val="005A2552"/>
    <w:rsid w:val="005B2178"/>
    <w:rsid w:val="005C5092"/>
    <w:rsid w:val="005F751B"/>
    <w:rsid w:val="00601028"/>
    <w:rsid w:val="00642E0F"/>
    <w:rsid w:val="006517E1"/>
    <w:rsid w:val="00653D7E"/>
    <w:rsid w:val="006615BF"/>
    <w:rsid w:val="006738DA"/>
    <w:rsid w:val="00677AF0"/>
    <w:rsid w:val="0069277D"/>
    <w:rsid w:val="00695A2E"/>
    <w:rsid w:val="006975E6"/>
    <w:rsid w:val="006A13CF"/>
    <w:rsid w:val="006B232C"/>
    <w:rsid w:val="006B3BD2"/>
    <w:rsid w:val="006B49F9"/>
    <w:rsid w:val="006D0275"/>
    <w:rsid w:val="006F2DBD"/>
    <w:rsid w:val="0072038E"/>
    <w:rsid w:val="00726A4F"/>
    <w:rsid w:val="00734897"/>
    <w:rsid w:val="00734D92"/>
    <w:rsid w:val="00740176"/>
    <w:rsid w:val="007607AD"/>
    <w:rsid w:val="00766FE8"/>
    <w:rsid w:val="007951ED"/>
    <w:rsid w:val="007A6027"/>
    <w:rsid w:val="007A7D8C"/>
    <w:rsid w:val="007B48E1"/>
    <w:rsid w:val="007B49C2"/>
    <w:rsid w:val="007C031A"/>
    <w:rsid w:val="007C1F13"/>
    <w:rsid w:val="007C4412"/>
    <w:rsid w:val="007C51DB"/>
    <w:rsid w:val="007C60E3"/>
    <w:rsid w:val="007D0F4B"/>
    <w:rsid w:val="007D706B"/>
    <w:rsid w:val="00803921"/>
    <w:rsid w:val="0082408B"/>
    <w:rsid w:val="008600E3"/>
    <w:rsid w:val="008777E7"/>
    <w:rsid w:val="00882597"/>
    <w:rsid w:val="008C36DB"/>
    <w:rsid w:val="008C3C2F"/>
    <w:rsid w:val="008E7856"/>
    <w:rsid w:val="008F2DD7"/>
    <w:rsid w:val="008F47F3"/>
    <w:rsid w:val="008F76D4"/>
    <w:rsid w:val="009142C4"/>
    <w:rsid w:val="009174F1"/>
    <w:rsid w:val="0092079A"/>
    <w:rsid w:val="009C3DC0"/>
    <w:rsid w:val="00A124C4"/>
    <w:rsid w:val="00A26461"/>
    <w:rsid w:val="00A33D0B"/>
    <w:rsid w:val="00A34821"/>
    <w:rsid w:val="00A34970"/>
    <w:rsid w:val="00A70021"/>
    <w:rsid w:val="00A707DD"/>
    <w:rsid w:val="00A737AC"/>
    <w:rsid w:val="00A818C2"/>
    <w:rsid w:val="00A845C6"/>
    <w:rsid w:val="00A85BF3"/>
    <w:rsid w:val="00A934DF"/>
    <w:rsid w:val="00A9372C"/>
    <w:rsid w:val="00AA2898"/>
    <w:rsid w:val="00AC2106"/>
    <w:rsid w:val="00AE21F1"/>
    <w:rsid w:val="00AE442D"/>
    <w:rsid w:val="00B06413"/>
    <w:rsid w:val="00B11286"/>
    <w:rsid w:val="00B13C0B"/>
    <w:rsid w:val="00B22378"/>
    <w:rsid w:val="00B26283"/>
    <w:rsid w:val="00B36E36"/>
    <w:rsid w:val="00B4373F"/>
    <w:rsid w:val="00B55599"/>
    <w:rsid w:val="00B56569"/>
    <w:rsid w:val="00B57235"/>
    <w:rsid w:val="00B732B9"/>
    <w:rsid w:val="00B84358"/>
    <w:rsid w:val="00B93481"/>
    <w:rsid w:val="00BA3F18"/>
    <w:rsid w:val="00BA5889"/>
    <w:rsid w:val="00BA5D55"/>
    <w:rsid w:val="00BA61AF"/>
    <w:rsid w:val="00BB13C8"/>
    <w:rsid w:val="00BD0C77"/>
    <w:rsid w:val="00C07342"/>
    <w:rsid w:val="00C2698B"/>
    <w:rsid w:val="00C300BE"/>
    <w:rsid w:val="00C443A8"/>
    <w:rsid w:val="00C47DF9"/>
    <w:rsid w:val="00C60B34"/>
    <w:rsid w:val="00C73AB6"/>
    <w:rsid w:val="00C8605F"/>
    <w:rsid w:val="00C87BEE"/>
    <w:rsid w:val="00C9194C"/>
    <w:rsid w:val="00CA3FA2"/>
    <w:rsid w:val="00CA466E"/>
    <w:rsid w:val="00CA6FFB"/>
    <w:rsid w:val="00CB3665"/>
    <w:rsid w:val="00CB7C5A"/>
    <w:rsid w:val="00CC71D3"/>
    <w:rsid w:val="00CE73CB"/>
    <w:rsid w:val="00D03BA8"/>
    <w:rsid w:val="00D16CAF"/>
    <w:rsid w:val="00D2625D"/>
    <w:rsid w:val="00D41FC8"/>
    <w:rsid w:val="00D5114D"/>
    <w:rsid w:val="00D72EF5"/>
    <w:rsid w:val="00D91577"/>
    <w:rsid w:val="00DE525B"/>
    <w:rsid w:val="00DF5724"/>
    <w:rsid w:val="00E04B61"/>
    <w:rsid w:val="00E05987"/>
    <w:rsid w:val="00E35AFC"/>
    <w:rsid w:val="00E35B74"/>
    <w:rsid w:val="00E4703A"/>
    <w:rsid w:val="00E512ED"/>
    <w:rsid w:val="00E517B9"/>
    <w:rsid w:val="00E54D9E"/>
    <w:rsid w:val="00E70A6F"/>
    <w:rsid w:val="00E9389F"/>
    <w:rsid w:val="00EA053F"/>
    <w:rsid w:val="00EB1AE3"/>
    <w:rsid w:val="00EC2967"/>
    <w:rsid w:val="00ED600E"/>
    <w:rsid w:val="00EF0B8F"/>
    <w:rsid w:val="00F04A3F"/>
    <w:rsid w:val="00F10077"/>
    <w:rsid w:val="00F12CA9"/>
    <w:rsid w:val="00F348E6"/>
    <w:rsid w:val="00F43102"/>
    <w:rsid w:val="00F648B7"/>
    <w:rsid w:val="00F658C3"/>
    <w:rsid w:val="00F67E5B"/>
    <w:rsid w:val="00F822BA"/>
    <w:rsid w:val="00FB278E"/>
    <w:rsid w:val="00FC4FF3"/>
    <w:rsid w:val="00FC5E07"/>
    <w:rsid w:val="02BC7D06"/>
    <w:rsid w:val="031067B6"/>
    <w:rsid w:val="0673692E"/>
    <w:rsid w:val="0E462B7A"/>
    <w:rsid w:val="0E7A4ECE"/>
    <w:rsid w:val="0EF95E3E"/>
    <w:rsid w:val="1109680C"/>
    <w:rsid w:val="118E7CCB"/>
    <w:rsid w:val="1289229F"/>
    <w:rsid w:val="14F5788F"/>
    <w:rsid w:val="1666025D"/>
    <w:rsid w:val="16921052"/>
    <w:rsid w:val="176D73C9"/>
    <w:rsid w:val="181961CE"/>
    <w:rsid w:val="18A1732B"/>
    <w:rsid w:val="19A40A22"/>
    <w:rsid w:val="1A3719AD"/>
    <w:rsid w:val="1BEF2AA3"/>
    <w:rsid w:val="1C562ED8"/>
    <w:rsid w:val="1CF16EA9"/>
    <w:rsid w:val="1DBA7555"/>
    <w:rsid w:val="210C6C74"/>
    <w:rsid w:val="23492A98"/>
    <w:rsid w:val="240252D8"/>
    <w:rsid w:val="247753E3"/>
    <w:rsid w:val="249C117F"/>
    <w:rsid w:val="25E50B22"/>
    <w:rsid w:val="26CF1507"/>
    <w:rsid w:val="27DB3589"/>
    <w:rsid w:val="2A111BBA"/>
    <w:rsid w:val="2C567BB3"/>
    <w:rsid w:val="2C680433"/>
    <w:rsid w:val="2CE33F5E"/>
    <w:rsid w:val="2F972DDE"/>
    <w:rsid w:val="30564A47"/>
    <w:rsid w:val="33112770"/>
    <w:rsid w:val="33DB773D"/>
    <w:rsid w:val="37D04A89"/>
    <w:rsid w:val="38EF77E6"/>
    <w:rsid w:val="3B9052B1"/>
    <w:rsid w:val="3ED01E68"/>
    <w:rsid w:val="3F6251B6"/>
    <w:rsid w:val="402855EC"/>
    <w:rsid w:val="40E27F7A"/>
    <w:rsid w:val="41344930"/>
    <w:rsid w:val="41B4781F"/>
    <w:rsid w:val="48BF2D31"/>
    <w:rsid w:val="4A182B84"/>
    <w:rsid w:val="4A841E6C"/>
    <w:rsid w:val="4C327CBE"/>
    <w:rsid w:val="4D4708CD"/>
    <w:rsid w:val="4F367E6C"/>
    <w:rsid w:val="510B3EF7"/>
    <w:rsid w:val="53CB1124"/>
    <w:rsid w:val="546633B2"/>
    <w:rsid w:val="55214C22"/>
    <w:rsid w:val="560A6202"/>
    <w:rsid w:val="58466FCB"/>
    <w:rsid w:val="584B45E2"/>
    <w:rsid w:val="59396B30"/>
    <w:rsid w:val="59CC2CBB"/>
    <w:rsid w:val="5DAA3B58"/>
    <w:rsid w:val="60D96503"/>
    <w:rsid w:val="64C202AB"/>
    <w:rsid w:val="66FC2F4B"/>
    <w:rsid w:val="67053F8F"/>
    <w:rsid w:val="671169F6"/>
    <w:rsid w:val="68D83009"/>
    <w:rsid w:val="694A1802"/>
    <w:rsid w:val="698A6AEB"/>
    <w:rsid w:val="6B5B2936"/>
    <w:rsid w:val="6DC61BFF"/>
    <w:rsid w:val="6E11552E"/>
    <w:rsid w:val="6FCA008A"/>
    <w:rsid w:val="6FE849BB"/>
    <w:rsid w:val="746D092B"/>
    <w:rsid w:val="7688510D"/>
    <w:rsid w:val="77342EFB"/>
    <w:rsid w:val="785C1D8E"/>
    <w:rsid w:val="786372CE"/>
    <w:rsid w:val="792468AF"/>
    <w:rsid w:val="7A9E45ED"/>
    <w:rsid w:val="7AF9754D"/>
    <w:rsid w:val="7B263617"/>
    <w:rsid w:val="7C9F06E9"/>
    <w:rsid w:val="7DF6029C"/>
    <w:rsid w:val="7EEB02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qFormat/>
    <w:uiPriority w:val="0"/>
    <w:pPr>
      <w:widowControl w:val="0"/>
      <w:spacing w:after="120" w:afterLines="0"/>
      <w:jc w:val="both"/>
    </w:pPr>
    <w:rPr>
      <w:rFonts w:ascii="Calibri" w:hAnsi="Calibri" w:eastAsia="宋体" w:cs="Times New Roman"/>
      <w:kern w:val="2"/>
      <w:sz w:val="21"/>
      <w:szCs w:val="24"/>
      <w:lang w:val="en-US" w:eastAsia="zh-CN" w:bidi="ar-SA"/>
    </w:rPr>
  </w:style>
  <w:style w:type="paragraph" w:styleId="5">
    <w:name w:val="Body Text Indent"/>
    <w:basedOn w:val="1"/>
    <w:next w:val="6"/>
    <w:qFormat/>
    <w:uiPriority w:val="0"/>
    <w:pPr>
      <w:ind w:firstLine="645"/>
    </w:pPr>
    <w:rPr>
      <w:rFonts w:ascii="Arial" w:hAnsi="Arial" w:eastAsia="仿宋_GB2312"/>
      <w:sz w:val="28"/>
    </w:rPr>
  </w:style>
  <w:style w:type="paragraph" w:styleId="6">
    <w:name w:val="envelope return"/>
    <w:basedOn w:val="1"/>
    <w:qFormat/>
    <w:uiPriority w:val="0"/>
    <w:pPr>
      <w:snapToGrid w:val="0"/>
    </w:pPr>
    <w:rPr>
      <w:rFonts w:ascii="Arial" w:hAnsi="Arial"/>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5"/>
    <w:next w:val="1"/>
    <w:qFormat/>
    <w:uiPriority w:val="0"/>
    <w:pPr>
      <w:tabs>
        <w:tab w:val="left" w:pos="0"/>
        <w:tab w:val="left" w:pos="993"/>
        <w:tab w:val="left" w:pos="1134"/>
      </w:tabs>
      <w:spacing w:line="360" w:lineRule="auto"/>
      <w:ind w:firstLine="0"/>
      <w:jc w:val="left"/>
    </w:pPr>
    <w:rPr>
      <w:rFonts w:ascii="宋体" w:hAnsi="宋体" w:cs="宋体"/>
      <w:szCs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8</Pages>
  <Words>2713</Words>
  <Characters>2795</Characters>
  <Lines>4</Lines>
  <Paragraphs>1</Paragraphs>
  <TotalTime>12</TotalTime>
  <ScaleCrop>false</ScaleCrop>
  <LinksUpToDate>false</LinksUpToDate>
  <CharactersWithSpaces>2836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2020-03-31T07:53:00Z</dcterms:created>
  <dc:creator>dreamsummit</dc:creator>
  <cp:lastModifiedBy>基础设施事业部</cp:lastModifiedBy>
  <cp:lastPrinted>2026-06-11T01:02:00Z</cp:lastPrinted>
  <dcterms:modified xsi:type="dcterms:W3CDTF">2026-07-24T09:04:11Z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86AE76FF618E4EE4BC6ABE44A9765320_13</vt:lpwstr>
  </property>
  <property fmtid="{D5CDD505-2E9C-101B-9397-08002B2CF9AE}" pid="4" name="KSOTemplateDocerSaveRecord">
    <vt:lpwstr>eyJoZGlkIjoiMmU0MzMzYjZlNzFlYzFmZTI2OWFkMmI0M2YxMWQ1NDUiLCJ1c2VySWQiOiIxNjU2NDgyODgyIn0=</vt:lpwstr>
  </property>
</Properties>
</file>