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b/>
          <w:bCs/>
          <w:sz w:val="30"/>
          <w:szCs w:val="30"/>
          <w:lang w:val="en-US" w:eastAsia="zh-CN"/>
        </w:rPr>
      </w:pPr>
      <w:r>
        <w:rPr>
          <w:rFonts w:hint="eastAsia"/>
          <w:b/>
          <w:bCs/>
          <w:sz w:val="30"/>
          <w:szCs w:val="30"/>
          <w:lang w:val="en-US" w:eastAsia="zh-CN"/>
        </w:rPr>
        <w:t>附件2：</w:t>
      </w:r>
    </w:p>
    <w:p>
      <w:pPr>
        <w:pStyle w:val="6"/>
        <w:jc w:val="center"/>
        <w:rPr>
          <w:b/>
          <w:bCs/>
        </w:rPr>
      </w:pPr>
      <w:r>
        <w:rPr>
          <w:rFonts w:hint="eastAsia"/>
          <w:b/>
          <w:bCs/>
          <w:lang w:val="en-US" w:eastAsia="zh-CN"/>
        </w:rPr>
        <w:t>安徽和州城市运营管理有限责任公司、和县乡村振兴投资有限公司融资项目所需的可研编制服务评审标准</w:t>
      </w:r>
    </w:p>
    <w:tbl>
      <w:tblPr>
        <w:tblStyle w:val="7"/>
        <w:tblW w:w="61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45"/>
        <w:gridCol w:w="1027"/>
        <w:gridCol w:w="1083"/>
        <w:gridCol w:w="7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4" w:type="pct"/>
            <w:noWrap w:val="0"/>
            <w:vAlign w:val="center"/>
          </w:tcPr>
          <w:p>
            <w:pPr>
              <w:pStyle w:val="5"/>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宋体"/>
                <w:b/>
                <w:lang w:val="en-US" w:eastAsia="zh-CN"/>
              </w:rPr>
            </w:pPr>
            <w:r>
              <w:rPr>
                <w:rFonts w:hint="eastAsia"/>
                <w:b/>
                <w:lang w:val="en-US" w:eastAsia="zh-CN"/>
              </w:rPr>
              <w:t>序号</w:t>
            </w:r>
          </w:p>
        </w:tc>
        <w:tc>
          <w:tcPr>
            <w:tcW w:w="502" w:type="pct"/>
            <w:noWrap w:val="0"/>
            <w:vAlign w:val="center"/>
          </w:tcPr>
          <w:p>
            <w:pPr>
              <w:pStyle w:val="5"/>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5"/>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29" w:type="pct"/>
            <w:noWrap w:val="0"/>
            <w:vAlign w:val="center"/>
          </w:tcPr>
          <w:p>
            <w:pPr>
              <w:pStyle w:val="5"/>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603" w:type="pct"/>
            <w:noWrap w:val="0"/>
            <w:vAlign w:val="center"/>
          </w:tcPr>
          <w:p>
            <w:pPr>
              <w:pStyle w:val="5"/>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noWrap w:val="0"/>
            <w:vAlign w:val="center"/>
          </w:tcPr>
          <w:p>
            <w:pPr>
              <w:numPr>
                <w:ilvl w:val="0"/>
                <w:numId w:val="0"/>
              </w:numPr>
              <w:spacing w:line="360" w:lineRule="auto"/>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1</w:t>
            </w:r>
          </w:p>
        </w:tc>
        <w:tc>
          <w:tcPr>
            <w:tcW w:w="502" w:type="pct"/>
            <w:noWrap w:val="0"/>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29" w:type="pct"/>
            <w:noWrap w:val="0"/>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25</w:t>
            </w:r>
          </w:p>
        </w:tc>
        <w:tc>
          <w:tcPr>
            <w:tcW w:w="3603" w:type="pct"/>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rPr>
              <w:t>1.1对</w:t>
            </w:r>
            <w:r>
              <w:rPr>
                <w:rFonts w:hint="eastAsia" w:ascii="宋体" w:hAnsi="宋体"/>
                <w:sz w:val="24"/>
                <w:szCs w:val="24"/>
                <w:lang w:val="en-US" w:eastAsia="zh-CN"/>
              </w:rPr>
              <w:t>本项目的理解和总体设计思路、关键问题及对策措施进行分析</w:t>
            </w:r>
            <w:r>
              <w:rPr>
                <w:rFonts w:hint="eastAsia" w:ascii="宋体" w:hAnsi="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本项目情况分析</w:t>
            </w:r>
            <w:r>
              <w:rPr>
                <w:rFonts w:hint="eastAsia" w:ascii="宋体" w:hAnsi="宋体"/>
                <w:sz w:val="24"/>
                <w:szCs w:val="24"/>
                <w:lang w:eastAsia="zh-CN"/>
              </w:rPr>
              <w:t>内容完整全面、科学合理的得</w:t>
            </w:r>
            <w:r>
              <w:rPr>
                <w:rFonts w:hint="eastAsia" w:ascii="宋体" w:hAnsi="宋体"/>
                <w:sz w:val="24"/>
                <w:szCs w:val="24"/>
                <w:lang w:val="en-US" w:eastAsia="zh-CN"/>
              </w:rPr>
              <w:t>7-10</w:t>
            </w:r>
            <w:r>
              <w:rPr>
                <w:rFonts w:hint="eastAsia" w:ascii="宋体" w:hAnsi="宋体"/>
                <w:sz w:val="24"/>
                <w:szCs w:val="24"/>
                <w:lang w:eastAsia="zh-CN"/>
              </w:rPr>
              <w:t>分；</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本项目情况分析</w:t>
            </w:r>
            <w:r>
              <w:rPr>
                <w:rFonts w:hint="eastAsia" w:ascii="宋体" w:hAnsi="宋体"/>
                <w:sz w:val="24"/>
                <w:szCs w:val="24"/>
                <w:lang w:eastAsia="zh-CN"/>
              </w:rPr>
              <w:t>内容较完整全面、较科学合理的，</w:t>
            </w:r>
            <w:r>
              <w:rPr>
                <w:rFonts w:hint="eastAsia" w:ascii="宋体" w:hAnsi="宋体"/>
                <w:sz w:val="24"/>
                <w:szCs w:val="24"/>
                <w:lang w:val="en-US" w:eastAsia="zh-CN"/>
              </w:rPr>
              <w:t>得4-6</w:t>
            </w:r>
            <w:r>
              <w:rPr>
                <w:rFonts w:hint="eastAsia" w:ascii="宋体" w:hAnsi="宋体"/>
                <w:sz w:val="24"/>
                <w:szCs w:val="24"/>
                <w:lang w:eastAsia="zh-CN"/>
              </w:rPr>
              <w:t>分；</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lang w:val="en-US" w:eastAsia="zh-CN"/>
              </w:rPr>
              <w:t>本项目分析</w:t>
            </w:r>
            <w:r>
              <w:rPr>
                <w:rFonts w:hint="eastAsia" w:ascii="宋体" w:hAnsi="宋体"/>
                <w:sz w:val="24"/>
                <w:szCs w:val="24"/>
                <w:lang w:eastAsia="zh-CN"/>
              </w:rPr>
              <w:t>内容有待完善的得</w:t>
            </w:r>
            <w:r>
              <w:rPr>
                <w:rFonts w:hint="eastAsia" w:ascii="宋体" w:hAnsi="宋体"/>
                <w:sz w:val="24"/>
                <w:szCs w:val="24"/>
                <w:lang w:val="en-US" w:eastAsia="zh-CN"/>
              </w:rPr>
              <w:t>1-3</w:t>
            </w:r>
            <w:r>
              <w:rPr>
                <w:rFonts w:hint="eastAsia" w:ascii="宋体" w:hAnsi="宋体"/>
                <w:sz w:val="24"/>
                <w:szCs w:val="24"/>
                <w:lang w:eastAsia="zh-CN"/>
              </w:rPr>
              <w:t>分；</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1.2对本项目工程的质量控制</w:t>
            </w:r>
            <w:r>
              <w:rPr>
                <w:rFonts w:hint="eastAsia" w:ascii="宋体" w:hAnsi="宋体"/>
                <w:sz w:val="24"/>
                <w:szCs w:val="24"/>
                <w:lang w:eastAsia="zh-CN"/>
              </w:rPr>
              <w:t>、</w:t>
            </w:r>
            <w:r>
              <w:rPr>
                <w:rFonts w:hint="eastAsia" w:ascii="宋体" w:hAnsi="宋体"/>
                <w:sz w:val="24"/>
                <w:szCs w:val="24"/>
                <w:lang w:val="en-US" w:eastAsia="zh-CN"/>
              </w:rPr>
              <w:t>进度计划及进度保证措施</w:t>
            </w:r>
            <w:r>
              <w:rPr>
                <w:rFonts w:hint="eastAsia" w:ascii="宋体" w:hAnsi="宋体"/>
                <w:sz w:val="24"/>
                <w:szCs w:val="24"/>
              </w:rPr>
              <w:t>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7-10</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4-6</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w:t>
            </w:r>
            <w:r>
              <w:rPr>
                <w:rFonts w:hint="eastAsia" w:ascii="宋体" w:hAnsi="宋体"/>
                <w:sz w:val="24"/>
                <w:szCs w:val="24"/>
                <w:lang w:eastAsia="zh-CN"/>
              </w:rPr>
              <w:t>、</w:t>
            </w:r>
            <w:r>
              <w:rPr>
                <w:rFonts w:hint="eastAsia" w:ascii="宋体" w:hAnsi="宋体"/>
                <w:sz w:val="24"/>
                <w:szCs w:val="24"/>
                <w:lang w:val="en-US" w:eastAsia="zh-CN"/>
              </w:rPr>
              <w:t>进度计划及保证措施</w:t>
            </w:r>
            <w:r>
              <w:rPr>
                <w:rFonts w:hint="eastAsia" w:ascii="宋体" w:hAnsi="宋体"/>
                <w:sz w:val="24"/>
                <w:szCs w:val="24"/>
              </w:rPr>
              <w:t>方案内容欠缺、有待调整的得</w:t>
            </w:r>
            <w:r>
              <w:rPr>
                <w:rFonts w:hint="eastAsia" w:ascii="宋体" w:hAnsi="宋体"/>
                <w:sz w:val="24"/>
                <w:szCs w:val="24"/>
                <w:lang w:val="en-US" w:eastAsia="zh-CN"/>
              </w:rPr>
              <w:t>1-3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1.3对本项目制定的后续服务方案</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制定的后续服务方案</w:t>
            </w:r>
            <w:r>
              <w:rPr>
                <w:rFonts w:hint="eastAsia" w:ascii="宋体" w:hAnsi="宋体"/>
                <w:sz w:val="24"/>
                <w:szCs w:val="24"/>
              </w:rPr>
              <w:t>内容齐全、完整，操作性强，服务快捷、便利的得4-5分；</w:t>
            </w:r>
          </w:p>
          <w:p>
            <w:pPr>
              <w:keepNext w:val="0"/>
              <w:keepLines w:val="0"/>
              <w:pageBreakBefore w:val="0"/>
              <w:widowControl w:val="0"/>
              <w:numPr>
                <w:ilvl w:val="0"/>
                <w:numId w:val="2"/>
              </w:numPr>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制定的后续服务方案内容基本完整、操作性及便捷程度较为一般的得2-3分；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（3）制定的后续服务方案内容欠缺、有待调整的得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noWrap w:val="0"/>
            <w:vAlign w:val="center"/>
          </w:tcPr>
          <w:p>
            <w:pPr>
              <w:numPr>
                <w:ilvl w:val="0"/>
                <w:numId w:val="0"/>
              </w:numPr>
              <w:spacing w:line="360" w:lineRule="auto"/>
              <w:ind w:left="0" w:leftChars="0" w:firstLine="0" w:firstLineChars="0"/>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2</w:t>
            </w:r>
          </w:p>
        </w:tc>
        <w:tc>
          <w:tcPr>
            <w:tcW w:w="502" w:type="pct"/>
            <w:noWrap w:val="0"/>
            <w:vAlign w:val="center"/>
          </w:tcPr>
          <w:p>
            <w:pPr>
              <w:numPr>
                <w:ilvl w:val="0"/>
                <w:numId w:val="0"/>
              </w:numPr>
              <w:spacing w:line="360" w:lineRule="auto"/>
              <w:ind w:left="0" w:leftChars="0" w:firstLine="0" w:firstLineChars="0"/>
              <w:jc w:val="center"/>
              <w:rPr>
                <w:rFonts w:hint="eastAsia" w:ascii="宋体" w:hAnsi="宋体"/>
                <w:bCs/>
                <w:sz w:val="24"/>
                <w:szCs w:val="24"/>
                <w:lang w:val="en-US" w:eastAsia="zh-CN"/>
              </w:rPr>
            </w:pPr>
            <w:r>
              <w:rPr>
                <w:rFonts w:hint="eastAsia" w:ascii="宋体" w:hAnsi="宋体"/>
                <w:bCs/>
                <w:sz w:val="24"/>
                <w:szCs w:val="24"/>
                <w:lang w:val="en-US" w:eastAsia="zh-CN"/>
              </w:rPr>
              <w:t>时效</w:t>
            </w:r>
          </w:p>
          <w:p>
            <w:pPr>
              <w:numPr>
                <w:ilvl w:val="0"/>
                <w:numId w:val="0"/>
              </w:numPr>
              <w:spacing w:line="360" w:lineRule="auto"/>
              <w:ind w:left="0" w:leftChars="0" w:firstLine="0" w:firstLineChars="0"/>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要求</w:t>
            </w:r>
          </w:p>
        </w:tc>
        <w:tc>
          <w:tcPr>
            <w:tcW w:w="529" w:type="pct"/>
            <w:noWrap w:val="0"/>
            <w:vAlign w:val="center"/>
          </w:tcPr>
          <w:p>
            <w:pPr>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sz w:val="24"/>
                <w:szCs w:val="24"/>
                <w:lang w:val="en-US" w:eastAsia="zh-CN"/>
              </w:rPr>
              <w:t>5</w:t>
            </w:r>
          </w:p>
        </w:tc>
        <w:tc>
          <w:tcPr>
            <w:tcW w:w="3603" w:type="pct"/>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center"/>
              <w:textAlignment w:val="auto"/>
              <w:rPr>
                <w:rFonts w:hint="eastAsia" w:ascii="宋体" w:hAnsi="宋体" w:cs="宋体"/>
                <w:bCs/>
                <w:sz w:val="24"/>
                <w:szCs w:val="24"/>
              </w:rPr>
            </w:pPr>
            <w:r>
              <w:rPr>
                <w:rFonts w:hint="eastAsia" w:ascii="宋体" w:hAnsi="宋体" w:cs="宋体"/>
                <w:sz w:val="24"/>
                <w:szCs w:val="24"/>
              </w:rPr>
              <w:t>5.</w:t>
            </w:r>
            <w:r>
              <w:rPr>
                <w:rFonts w:hint="eastAsia" w:ascii="宋体" w:hAnsi="宋体" w:cs="宋体"/>
                <w:bCs/>
                <w:sz w:val="24"/>
                <w:szCs w:val="24"/>
                <w:lang w:val="en-US" w:eastAsia="zh-CN"/>
              </w:rPr>
              <w:t>1供应商能够提供承诺书，承诺在公开比选中标后三个工作日提供可研编制报告，最多得5分，无法承诺的得0分。</w:t>
            </w:r>
          </w:p>
          <w:p>
            <w:pPr>
              <w:pStyle w:val="2"/>
              <w:jc w:val="center"/>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502" w:type="pct"/>
            <w:noWrap w:val="0"/>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29" w:type="pct"/>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603" w:type="pct"/>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（1）拟派项目负责人</w:t>
            </w:r>
            <w:r>
              <w:rPr>
                <w:rFonts w:hint="eastAsia" w:ascii="宋体" w:hAnsi="宋体" w:cs="宋体"/>
                <w:sz w:val="24"/>
                <w:szCs w:val="24"/>
                <w:lang w:val="en-US" w:eastAsia="zh-CN"/>
              </w:rPr>
              <w:t>具有注册咨询师得10分，本项最多</w:t>
            </w:r>
            <w:r>
              <w:rPr>
                <w:rFonts w:hint="eastAsia" w:ascii="宋体" w:hAnsi="宋体" w:cs="宋体"/>
                <w:sz w:val="24"/>
                <w:szCs w:val="24"/>
              </w:rPr>
              <w:t>得</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宋体" w:hAnsi="宋体" w:cs="宋体"/>
                <w:sz w:val="24"/>
                <w:szCs w:val="24"/>
              </w:rPr>
              <w:t>（2）除项目负责人外，项目团队成员中：</w:t>
            </w:r>
            <w:r>
              <w:rPr>
                <w:rFonts w:hint="eastAsia" w:ascii="宋体" w:hAnsi="宋体" w:cs="宋体"/>
                <w:sz w:val="24"/>
                <w:szCs w:val="24"/>
                <w:highlight w:val="none"/>
              </w:rPr>
              <w:t>具有</w:t>
            </w:r>
            <w:r>
              <w:rPr>
                <w:rFonts w:hint="eastAsia" w:ascii="宋体" w:hAnsi="宋体" w:cs="宋体"/>
                <w:sz w:val="24"/>
                <w:szCs w:val="24"/>
                <w:highlight w:val="none"/>
                <w:lang w:val="en-US" w:eastAsia="zh-CN"/>
              </w:rPr>
              <w:t>工程类</w:t>
            </w:r>
            <w:r>
              <w:rPr>
                <w:rFonts w:hint="eastAsia" w:ascii="宋体" w:hAnsi="宋体" w:cs="宋体"/>
                <w:sz w:val="24"/>
                <w:szCs w:val="24"/>
                <w:highlight w:val="none"/>
              </w:rPr>
              <w:t>中</w:t>
            </w:r>
            <w:r>
              <w:rPr>
                <w:rFonts w:hint="eastAsia" w:ascii="宋体" w:hAnsi="宋体" w:cs="宋体"/>
                <w:sz w:val="24"/>
                <w:szCs w:val="24"/>
              </w:rPr>
              <w:t>级及以上职称，</w:t>
            </w:r>
            <w:r>
              <w:rPr>
                <w:rFonts w:hint="eastAsia" w:ascii="宋体" w:hAnsi="宋体" w:cs="宋体"/>
                <w:sz w:val="24"/>
                <w:szCs w:val="24"/>
                <w:lang w:val="en-US" w:eastAsia="zh-CN"/>
              </w:rPr>
              <w:t>每有一名</w:t>
            </w:r>
            <w:r>
              <w:rPr>
                <w:rFonts w:hint="eastAsia" w:ascii="宋体" w:hAnsi="宋体" w:cs="宋体"/>
                <w:sz w:val="24"/>
                <w:szCs w:val="24"/>
                <w:lang w:eastAsia="zh-CN"/>
              </w:rPr>
              <w:t>得</w:t>
            </w:r>
            <w:r>
              <w:rPr>
                <w:rFonts w:hint="eastAsia" w:ascii="宋体" w:hAnsi="宋体" w:cs="宋体"/>
                <w:sz w:val="24"/>
                <w:szCs w:val="24"/>
                <w:lang w:val="en-US" w:eastAsia="zh-CN"/>
              </w:rPr>
              <w:t>5</w:t>
            </w:r>
            <w:r>
              <w:rPr>
                <w:rFonts w:hint="eastAsia" w:ascii="宋体" w:hAnsi="宋体" w:cs="宋体"/>
                <w:sz w:val="24"/>
                <w:szCs w:val="24"/>
                <w:lang w:eastAsia="zh-CN"/>
              </w:rPr>
              <w:t>分，</w:t>
            </w:r>
            <w:r>
              <w:rPr>
                <w:rFonts w:hint="eastAsia" w:ascii="宋体" w:hAnsi="宋体" w:cs="宋体"/>
                <w:sz w:val="24"/>
                <w:szCs w:val="24"/>
                <w:lang w:val="en-US" w:eastAsia="zh-CN"/>
              </w:rPr>
              <w:t>最多15分。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w:t>
            </w:r>
            <w:r>
              <w:rPr>
                <w:rFonts w:hint="eastAsia" w:ascii="宋体" w:hAnsi="宋体" w:cs="宋体"/>
                <w:b/>
                <w:bCs/>
                <w:color w:val="FF0000"/>
                <w:sz w:val="24"/>
                <w:szCs w:val="24"/>
                <w:lang w:val="en-US" w:eastAsia="zh-CN"/>
              </w:rPr>
              <w:t>7</w:t>
            </w:r>
            <w:r>
              <w:rPr>
                <w:rFonts w:hint="eastAsia" w:ascii="宋体" w:hAnsi="宋体" w:cs="宋体"/>
                <w:b/>
                <w:bCs/>
                <w:color w:val="FF0000"/>
                <w:sz w:val="24"/>
                <w:szCs w:val="24"/>
              </w:rPr>
              <w:t>月以来）在该单位缴纳社会保障金的证明材料。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w:t>
            </w:r>
            <w:r>
              <w:rPr>
                <w:rFonts w:hint="eastAsia" w:ascii="宋体" w:hAnsi="宋体" w:cs="宋体"/>
                <w:b/>
                <w:bCs/>
                <w:color w:val="FF0000"/>
                <w:sz w:val="24"/>
                <w:szCs w:val="24"/>
                <w:lang w:val="en-US" w:eastAsia="zh-CN"/>
              </w:rPr>
              <w:t>7</w:t>
            </w:r>
            <w:r>
              <w:rPr>
                <w:rFonts w:hint="eastAsia" w:ascii="宋体" w:hAnsi="宋体" w:cs="宋体"/>
                <w:b/>
                <w:bCs/>
                <w:color w:val="FF0000"/>
                <w:sz w:val="24"/>
                <w:szCs w:val="24"/>
              </w:rPr>
              <w:t>月以来）为其缴纳社会保障金的证明材料复印件。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4" w:type="pct"/>
            <w:noWrap w:val="0"/>
            <w:vAlign w:val="center"/>
          </w:tcPr>
          <w:p>
            <w:pPr>
              <w:spacing w:line="360" w:lineRule="auto"/>
              <w:jc w:val="center"/>
              <w:rPr>
                <w:rFonts w:hint="eastAsia" w:ascii="宋体" w:hAnsi="宋体" w:eastAsia="宋体"/>
                <w:bCs/>
                <w:sz w:val="24"/>
                <w:szCs w:val="24"/>
                <w:lang w:val="en-US" w:eastAsia="zh-CN"/>
              </w:rPr>
            </w:pPr>
            <w:r>
              <w:rPr>
                <w:rFonts w:hint="eastAsia" w:ascii="宋体" w:hAnsi="宋体"/>
                <w:bCs/>
                <w:sz w:val="24"/>
                <w:szCs w:val="24"/>
                <w:lang w:val="en-US" w:eastAsia="zh-CN"/>
              </w:rPr>
              <w:t>4</w:t>
            </w:r>
          </w:p>
        </w:tc>
        <w:tc>
          <w:tcPr>
            <w:tcW w:w="502" w:type="pct"/>
            <w:noWrap w:val="0"/>
            <w:vAlign w:val="center"/>
          </w:tcPr>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供应商</w:t>
            </w:r>
          </w:p>
          <w:p>
            <w:pPr>
              <w:spacing w:line="360" w:lineRule="auto"/>
              <w:jc w:val="center"/>
              <w:rPr>
                <w:rFonts w:ascii="宋体" w:hAnsi="宋体"/>
                <w:bCs/>
                <w:sz w:val="24"/>
                <w:szCs w:val="24"/>
              </w:rPr>
            </w:pPr>
            <w:r>
              <w:rPr>
                <w:rFonts w:hint="eastAsia" w:ascii="宋体" w:hAnsi="宋体"/>
                <w:bCs/>
                <w:sz w:val="24"/>
                <w:szCs w:val="24"/>
              </w:rPr>
              <w:t>业绩</w:t>
            </w:r>
          </w:p>
        </w:tc>
        <w:tc>
          <w:tcPr>
            <w:tcW w:w="529" w:type="pct"/>
            <w:noWrap w:val="0"/>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3603" w:type="pct"/>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w:t>
            </w:r>
            <w:r>
              <w:rPr>
                <w:rFonts w:hint="eastAsia" w:ascii="宋体" w:hAnsi="宋体"/>
                <w:sz w:val="24"/>
                <w:szCs w:val="24"/>
                <w:lang w:val="en-US" w:eastAsia="zh-CN"/>
              </w:rPr>
              <w:t>1</w:t>
            </w:r>
            <w:r>
              <w:rPr>
                <w:rFonts w:hint="eastAsia" w:ascii="宋体" w:hAnsi="宋体"/>
                <w:sz w:val="24"/>
                <w:szCs w:val="24"/>
              </w:rPr>
              <w:t>年1月1日(含)以来（以合同签订日期为准，无合同签订日期评审小组不予计分</w:t>
            </w:r>
            <w:r>
              <w:rPr>
                <w:rFonts w:hint="eastAsia" w:ascii="宋体" w:hAnsi="宋体"/>
                <w:sz w:val="24"/>
                <w:szCs w:val="24"/>
                <w:lang w:eastAsia="zh-CN"/>
              </w:rPr>
              <w:t>）</w:t>
            </w:r>
            <w:r>
              <w:rPr>
                <w:rFonts w:hint="eastAsia" w:ascii="宋体" w:hAnsi="宋体"/>
                <w:sz w:val="24"/>
                <w:szCs w:val="24"/>
              </w:rPr>
              <w:t>承担过</w:t>
            </w:r>
            <w:r>
              <w:rPr>
                <w:rFonts w:hint="eastAsia" w:ascii="宋体" w:hAnsi="宋体"/>
                <w:sz w:val="24"/>
                <w:szCs w:val="24"/>
                <w:lang w:val="en-US" w:eastAsia="zh-CN"/>
              </w:rPr>
              <w:t>类似项目</w:t>
            </w:r>
            <w:r>
              <w:rPr>
                <w:rFonts w:hint="eastAsia" w:ascii="宋体" w:hAnsi="宋体"/>
                <w:sz w:val="24"/>
                <w:szCs w:val="24"/>
              </w:rPr>
              <w:t>的可研报告编制服务的</w:t>
            </w:r>
            <w:r>
              <w:rPr>
                <w:rFonts w:hint="eastAsia" w:ascii="宋体" w:hAnsi="宋体"/>
                <w:sz w:val="24"/>
                <w:szCs w:val="24"/>
                <w:lang w:val="en-US" w:eastAsia="zh-CN"/>
              </w:rPr>
              <w:t>，</w:t>
            </w:r>
            <w:r>
              <w:rPr>
                <w:rFonts w:hint="eastAsia" w:ascii="宋体" w:hAnsi="宋体"/>
                <w:sz w:val="24"/>
                <w:szCs w:val="24"/>
              </w:rPr>
              <w:t>每提供一个得</w:t>
            </w:r>
            <w:r>
              <w:rPr>
                <w:rFonts w:hint="eastAsia" w:ascii="宋体" w:hAnsi="宋体"/>
                <w:sz w:val="24"/>
                <w:szCs w:val="24"/>
                <w:lang w:val="en-US" w:eastAsia="zh-CN"/>
              </w:rPr>
              <w:t>5</w:t>
            </w:r>
            <w:r>
              <w:rPr>
                <w:rFonts w:hint="eastAsia" w:ascii="宋体" w:hAnsi="宋体"/>
                <w:sz w:val="24"/>
                <w:szCs w:val="24"/>
              </w:rPr>
              <w:t>分，本项最多可以得</w:t>
            </w:r>
            <w:r>
              <w:rPr>
                <w:rFonts w:hint="eastAsia" w:ascii="宋体" w:hAnsi="宋体"/>
                <w:sz w:val="24"/>
                <w:szCs w:val="24"/>
                <w:lang w:val="en-US" w:eastAsia="zh-CN"/>
              </w:rPr>
              <w:t>15</w:t>
            </w:r>
            <w:r>
              <w:rPr>
                <w:rFonts w:hint="eastAsia" w:ascii="宋体" w:hAnsi="宋体"/>
                <w:sz w:val="24"/>
                <w:szCs w:val="24"/>
              </w:rPr>
              <w:t>分，不提供不得分。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4" w:type="pct"/>
            <w:noWrap w:val="0"/>
            <w:vAlign w:val="center"/>
          </w:tcPr>
          <w:p>
            <w:pPr>
              <w:spacing w:line="360" w:lineRule="auto"/>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6</w:t>
            </w:r>
          </w:p>
        </w:tc>
        <w:tc>
          <w:tcPr>
            <w:tcW w:w="502" w:type="pct"/>
            <w:noWrap w:val="0"/>
            <w:vAlign w:val="center"/>
          </w:tcPr>
          <w:p>
            <w:pPr>
              <w:spacing w:line="360" w:lineRule="auto"/>
              <w:jc w:val="center"/>
              <w:rPr>
                <w:sz w:val="24"/>
                <w:szCs w:val="24"/>
              </w:rPr>
            </w:pPr>
            <w:r>
              <w:rPr>
                <w:rFonts w:hint="eastAsia" w:ascii="宋体" w:hAnsi="宋体" w:cs="宋体"/>
                <w:bCs/>
                <w:sz w:val="24"/>
                <w:szCs w:val="24"/>
              </w:rPr>
              <w:t>价格</w:t>
            </w:r>
          </w:p>
        </w:tc>
        <w:tc>
          <w:tcPr>
            <w:tcW w:w="529" w:type="pct"/>
            <w:noWrap w:val="0"/>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30</w:t>
            </w:r>
          </w:p>
        </w:tc>
        <w:tc>
          <w:tcPr>
            <w:tcW w:w="3603" w:type="pct"/>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ascii="宋体" w:hAnsi="宋体" w:cs="宋体"/>
                <w:bCs/>
                <w:sz w:val="24"/>
                <w:szCs w:val="24"/>
              </w:rPr>
              <w:t>6</w:t>
            </w:r>
            <w:r>
              <w:rPr>
                <w:rFonts w:hint="eastAsia" w:ascii="宋体" w:hAnsi="宋体" w:cs="宋体"/>
                <w:bCs/>
                <w:sz w:val="24"/>
                <w:szCs w:val="24"/>
              </w:rPr>
              <w:t>.1以通过</w:t>
            </w:r>
            <w:r>
              <w:rPr>
                <w:rFonts w:hint="eastAsia" w:ascii="宋体" w:hAnsi="宋体" w:cs="宋体"/>
                <w:bCs/>
                <w:sz w:val="24"/>
                <w:szCs w:val="24"/>
                <w:lang w:val="en-US" w:eastAsia="zh-CN"/>
              </w:rPr>
              <w:t>初步</w:t>
            </w:r>
            <w:r>
              <w:rPr>
                <w:rFonts w:hint="eastAsia" w:ascii="宋体" w:hAnsi="宋体" w:cs="宋体"/>
                <w:bCs/>
                <w:sz w:val="24"/>
                <w:szCs w:val="24"/>
              </w:rPr>
              <w:t>评审标准的供应商的有效最低报价为评标基准价，满分</w:t>
            </w:r>
            <w:r>
              <w:rPr>
                <w:rFonts w:hint="eastAsia" w:ascii="宋体" w:hAnsi="宋体" w:cs="宋体"/>
                <w:bCs/>
                <w:sz w:val="24"/>
                <w:szCs w:val="24"/>
                <w:lang w:val="en-US" w:eastAsia="zh-CN"/>
              </w:rPr>
              <w:t>3</w:t>
            </w:r>
            <w:r>
              <w:rPr>
                <w:rFonts w:hint="eastAsia" w:ascii="宋体" w:hAnsi="宋体" w:cs="宋体"/>
                <w:bCs/>
                <w:sz w:val="24"/>
                <w:szCs w:val="24"/>
              </w:rPr>
              <w:t>0分，其余供应商的价格分均按照以下方式计算：价格分=（评标基准价/供应商的总投标价）×</w:t>
            </w:r>
            <w:r>
              <w:rPr>
                <w:rFonts w:hint="eastAsia" w:ascii="宋体" w:hAnsi="宋体" w:cs="宋体"/>
                <w:bCs/>
                <w:sz w:val="24"/>
                <w:szCs w:val="24"/>
                <w:lang w:val="en-US" w:eastAsia="zh-CN"/>
              </w:rPr>
              <w:t>3</w:t>
            </w:r>
            <w:r>
              <w:rPr>
                <w:rFonts w:hint="eastAsia" w:ascii="宋体" w:hAnsi="宋体" w:cs="宋体"/>
                <w:bCs/>
                <w:sz w:val="24"/>
                <w:szCs w:val="24"/>
              </w:rPr>
              <w:t>0%×100。（小数点后面保留两位小数，第三位四舍五入）。</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p>
    <w:p>
      <w:pPr>
        <w:rPr>
          <w:rFonts w:hint="eastAsia"/>
          <w:sz w:val="28"/>
          <w:szCs w:val="28"/>
        </w:rPr>
      </w:pPr>
    </w:p>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）通过资格性审查的供应商不足3家的，将终止采购活动。</w:t>
      </w:r>
    </w:p>
    <w:p>
      <w:bookmarkStart w:id="0" w:name="_GoBack"/>
      <w:bookmarkEnd w:id="0"/>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E601"/>
    <w:multiLevelType w:val="singleLevel"/>
    <w:tmpl w:val="B653E601"/>
    <w:lvl w:ilvl="0" w:tentative="0">
      <w:start w:val="1"/>
      <w:numFmt w:val="decimal"/>
      <w:suff w:val="nothing"/>
      <w:lvlText w:val="（%1）"/>
      <w:lvlJc w:val="left"/>
    </w:lvl>
  </w:abstractNum>
  <w:abstractNum w:abstractNumId="1">
    <w:nsid w:val="DFD21F69"/>
    <w:multiLevelType w:val="singleLevel"/>
    <w:tmpl w:val="DFD21F6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DJiNDVmYTNlNzE0ODM1NmY3ODllMTRjODk0YWEifQ=="/>
  </w:docVars>
  <w:rsids>
    <w:rsidRoot w:val="3019471D"/>
    <w:rsid w:val="3019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6">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2024-05-22T07:35:00Z</dcterms:created>
  <dc:creator>杨玲莉 网新科技集团（百度）</dc:creator>
  <cp:lastModifiedBy>杨玲莉 网新科技集团（百度）</cp:lastModifiedBy>
  <dcterms:modified xsi:type="dcterms:W3CDTF">2024-05-22T07:36:15Z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375E559353034DF4B5918FEBF6CD03E2_11</vt:lpwstr>
  </property>
</Properties>
</file>