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下河塘公园先导区项目（EPC总承包）</w:t>
      </w:r>
    </w:p>
    <w:p>
      <w:pPr>
        <w:jc w:val="center"/>
        <w:rPr>
          <w:b/>
          <w:bCs/>
          <w:sz w:val="32"/>
          <w:szCs w:val="32"/>
        </w:rPr>
      </w:pPr>
      <w:r>
        <w:rPr>
          <w:rFonts w:hint="eastAsia"/>
          <w:b/>
          <w:bCs/>
          <w:sz w:val="32"/>
          <w:szCs w:val="32"/>
          <w:lang w:val="en-US" w:eastAsia="zh-CN"/>
        </w:rPr>
        <w:t>跟踪审计项目</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ZY-2023-006</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下河塘公园先导区项目（EPC总承包）跟踪审计项目</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10.98</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业绩要求：自2020年1月1日以来(以合同签订时间为准),供应商具有单个合同工程投资额(工程总投资或工程费用)不少于3000万元的公共建筑(含土方工程、道路工程、景观工程、建筑配套工程和水电工程)施工跟踪审计或全过程工程造价咨询业绩；</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4.供应商未被马鞍山市及其所辖县(市)、区(开发区)公共资源交易监督管理部门记不良行为记录的；或被记不良行为记录(以公布日期为准),但同时符合下列情形的：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(1)开标日前(含当日)6个月内记分累计未满10分的；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xml:space="preserve">(2)开标日前(含当日)12个月内记分累计未满15分的；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(3)开标日前(含当日)18个月内记分累计未满20分的；</w:t>
      </w:r>
    </w:p>
    <w:p>
      <w:pPr>
        <w:numPr>
          <w:ilvl w:val="0"/>
          <w:numId w:val="0"/>
        </w:numPr>
        <w:ind w:firstLine="560" w:firstLineChars="200"/>
        <w:jc w:val="left"/>
        <w:rPr>
          <w:color w:val="FF0000"/>
          <w:sz w:val="28"/>
          <w:szCs w:val="28"/>
        </w:rPr>
      </w:pPr>
      <w:r>
        <w:rPr>
          <w:rFonts w:hint="eastAsia"/>
          <w:sz w:val="28"/>
          <w:szCs w:val="28"/>
          <w:lang w:val="en-US" w:eastAsia="zh-CN"/>
        </w:rPr>
        <w:t>(4)开标日前(含当日)24个月内记分累计未满25分的。</w:t>
      </w:r>
      <w:r>
        <w:rPr>
          <w:rFonts w:hint="eastAsia" w:ascii="宋体" w:hAnsi="宋体" w:eastAsia="宋体" w:cs="宋体"/>
          <w:color w:val="FF0000"/>
          <w:kern w:val="0"/>
          <w:szCs w:val="21"/>
        </w:rPr>
        <w:t> </w:t>
      </w:r>
    </w:p>
    <w:p>
      <w:pPr>
        <w:numPr>
          <w:ilvl w:val="0"/>
          <w:numId w:val="0"/>
        </w:numPr>
        <w:ind w:firstLine="560" w:firstLineChars="200"/>
        <w:jc w:val="left"/>
        <w:rPr>
          <w:rFonts w:hint="eastAsia"/>
          <w:sz w:val="28"/>
          <w:szCs w:val="28"/>
        </w:rPr>
      </w:pPr>
      <w:r>
        <w:rPr>
          <w:rFonts w:hint="eastAsia"/>
          <w:sz w:val="28"/>
          <w:szCs w:val="28"/>
          <w:lang w:val="en-US" w:eastAsia="zh-CN"/>
        </w:rPr>
        <w:t>5.</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下河塘跟踪审计项目+</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sz w:val="28"/>
          <w:szCs w:val="28"/>
        </w:rPr>
      </w:pPr>
      <w:r>
        <w:rPr>
          <w:rFonts w:hint="eastAsia"/>
          <w:sz w:val="28"/>
          <w:szCs w:val="28"/>
          <w:lang w:val="en-US" w:eastAsia="zh-CN"/>
        </w:rPr>
        <w:t>四</w:t>
      </w:r>
      <w:r>
        <w:rPr>
          <w:rFonts w:hint="eastAsia"/>
          <w:sz w:val="28"/>
          <w:szCs w:val="28"/>
        </w:rPr>
        <w:t>、</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五</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lang w:val="en-US" w:eastAsia="zh-CN"/>
        </w:rPr>
        <w:t>六</w:t>
      </w:r>
      <w:r>
        <w:rPr>
          <w:rFonts w:hint="eastAsia"/>
          <w:sz w:val="28"/>
          <w:szCs w:val="28"/>
        </w:rPr>
        <w:t>、开启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12</w:t>
      </w:r>
      <w:r>
        <w:rPr>
          <w:rFonts w:hint="eastAsia"/>
          <w:sz w:val="28"/>
          <w:szCs w:val="28"/>
        </w:rPr>
        <w:t>月</w:t>
      </w:r>
      <w:r>
        <w:rPr>
          <w:rFonts w:hint="eastAsia"/>
          <w:sz w:val="28"/>
          <w:szCs w:val="28"/>
          <w:lang w:val="en-US" w:eastAsia="zh-CN"/>
        </w:rPr>
        <w:t>19</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七</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八</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马鞍山美和城乡建设有限公司</w:t>
      </w:r>
      <w:r>
        <w:rPr>
          <w:rFonts w:hint="eastAsia"/>
          <w:sz w:val="28"/>
          <w:szCs w:val="28"/>
        </w:rPr>
        <w:t xml:space="preserve">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05553868710    05553868703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rFonts w:hint="eastAsia"/>
          <w:b/>
          <w:bCs/>
          <w:sz w:val="32"/>
          <w:szCs w:val="32"/>
        </w:rPr>
      </w:pPr>
    </w:p>
    <w:p>
      <w:pPr>
        <w:rPr>
          <w:rFonts w:hint="eastAsia"/>
          <w:b/>
          <w:bCs/>
          <w:sz w:val="32"/>
          <w:szCs w:val="32"/>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下河塘公园先导区项目（EPC总承包）跟踪审计项目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下河塘公园先导区项目（EPC总承包）跟踪审计项目</w:t>
      </w:r>
      <w:r>
        <w:rPr>
          <w:rFonts w:hint="eastAsia"/>
          <w:sz w:val="28"/>
          <w:szCs w:val="28"/>
        </w:rPr>
        <w:t>的供应商，我单位将承诺会按照公告的要求如期提供</w:t>
      </w:r>
      <w:r>
        <w:rPr>
          <w:rFonts w:hint="eastAsia"/>
          <w:sz w:val="28"/>
          <w:szCs w:val="28"/>
          <w:lang w:val="en-US" w:eastAsia="zh-CN"/>
        </w:rPr>
        <w:t>跟踪审计业务。</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附件2：</w:t>
      </w:r>
    </w:p>
    <w:p>
      <w:pPr>
        <w:adjustRightInd w:val="0"/>
        <w:snapToGrid w:val="0"/>
        <w:spacing w:line="360" w:lineRule="auto"/>
        <w:jc w:val="center"/>
        <w:rPr>
          <w:rFonts w:ascii="宋体" w:hAnsi="宋体"/>
          <w:b/>
          <w:bCs/>
          <w:color w:val="000000"/>
          <w:sz w:val="32"/>
          <w:szCs w:val="32"/>
        </w:rPr>
      </w:pPr>
      <w:r>
        <w:rPr>
          <w:rFonts w:hint="eastAsia" w:ascii="宋体" w:hAnsi="宋体"/>
          <w:b/>
          <w:bCs/>
          <w:color w:val="000000"/>
          <w:sz w:val="32"/>
          <w:szCs w:val="32"/>
          <w:lang w:val="en-US" w:eastAsia="zh-CN"/>
        </w:rPr>
        <w:t>项目</w:t>
      </w:r>
      <w:r>
        <w:rPr>
          <w:rFonts w:hint="eastAsia" w:ascii="宋体" w:hAnsi="宋体"/>
          <w:b/>
          <w:bCs/>
          <w:color w:val="000000"/>
          <w:sz w:val="32"/>
          <w:szCs w:val="32"/>
        </w:rPr>
        <w:t>人员要求：</w:t>
      </w:r>
    </w:p>
    <w:p>
      <w:pPr>
        <w:adjustRightInd w:val="0"/>
        <w:snapToGrid w:val="0"/>
        <w:spacing w:line="360" w:lineRule="auto"/>
        <w:ind w:firstLine="470" w:firstLineChars="196"/>
      </w:pPr>
      <w:r>
        <w:rPr>
          <w:rFonts w:hint="eastAsia" w:ascii="宋体" w:hAnsi="宋体"/>
          <w:color w:val="000000"/>
          <w:sz w:val="24"/>
          <w:szCs w:val="24"/>
        </w:rPr>
        <w:t>基本人员要求</w:t>
      </w:r>
    </w:p>
    <w:tbl>
      <w:tblPr>
        <w:tblStyle w:val="9"/>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3050"/>
        <w:gridCol w:w="1790"/>
        <w:gridCol w:w="2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岗位</w:t>
            </w:r>
          </w:p>
        </w:tc>
        <w:tc>
          <w:tcPr>
            <w:tcW w:w="1755" w:type="pct"/>
            <w:vAlign w:val="center"/>
          </w:tcPr>
          <w:p>
            <w:pPr>
              <w:jc w:val="center"/>
              <w:rPr>
                <w:rFonts w:ascii="宋体" w:hAnsi="宋体" w:cs="仿宋"/>
                <w:kern w:val="0"/>
                <w:sz w:val="24"/>
                <w:szCs w:val="24"/>
              </w:rPr>
            </w:pPr>
            <w:r>
              <w:rPr>
                <w:rFonts w:hint="eastAsia" w:ascii="宋体" w:hAnsi="宋体" w:cs="仿宋"/>
                <w:kern w:val="0"/>
                <w:sz w:val="24"/>
                <w:szCs w:val="24"/>
              </w:rPr>
              <w:t>资质证书要求</w:t>
            </w: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最低人员配额</w:t>
            </w:r>
          </w:p>
        </w:tc>
        <w:tc>
          <w:tcPr>
            <w:tcW w:w="1554" w:type="pct"/>
            <w:vAlign w:val="center"/>
          </w:tcPr>
          <w:p>
            <w:pPr>
              <w:jc w:val="center"/>
              <w:rPr>
                <w:rFonts w:ascii="宋体" w:hAnsi="宋体" w:cs="仿宋"/>
                <w:kern w:val="0"/>
                <w:sz w:val="24"/>
                <w:szCs w:val="24"/>
              </w:rPr>
            </w:pPr>
            <w:r>
              <w:rPr>
                <w:rFonts w:hint="eastAsia" w:ascii="宋体" w:hAnsi="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项目负责人</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全国注册造价工程师或有效的一级注册造价工程师，且具有</w:t>
            </w:r>
            <w:r>
              <w:rPr>
                <w:rFonts w:hint="eastAsia" w:ascii="宋体" w:hAnsi="宋体" w:cs="仿宋"/>
                <w:kern w:val="0"/>
                <w:sz w:val="24"/>
                <w:szCs w:val="24"/>
                <w:lang w:val="en-US" w:eastAsia="zh-CN"/>
              </w:rPr>
              <w:t>中级及以上</w:t>
            </w:r>
            <w:r>
              <w:rPr>
                <w:rFonts w:hint="eastAsia" w:ascii="宋体" w:hAnsi="宋体" w:cs="仿宋"/>
                <w:kern w:val="0"/>
                <w:sz w:val="24"/>
                <w:szCs w:val="24"/>
              </w:rPr>
              <w:t>职称</w:t>
            </w:r>
          </w:p>
          <w:p>
            <w:pPr>
              <w:pStyle w:val="2"/>
            </w:pPr>
          </w:p>
        </w:tc>
        <w:tc>
          <w:tcPr>
            <w:tcW w:w="1030" w:type="pct"/>
            <w:vAlign w:val="center"/>
          </w:tcPr>
          <w:p>
            <w:pPr>
              <w:jc w:val="center"/>
              <w:rPr>
                <w:rFonts w:ascii="宋体" w:hAnsi="宋体" w:cs="仿宋"/>
                <w:kern w:val="0"/>
                <w:sz w:val="24"/>
                <w:szCs w:val="24"/>
              </w:rPr>
            </w:pPr>
            <w:r>
              <w:rPr>
                <w:rFonts w:hint="eastAsia" w:ascii="宋体" w:hAnsi="宋体" w:cs="仿宋"/>
                <w:kern w:val="0"/>
                <w:sz w:val="24"/>
                <w:szCs w:val="24"/>
              </w:rPr>
              <w:t>1</w:t>
            </w:r>
          </w:p>
        </w:tc>
        <w:tc>
          <w:tcPr>
            <w:tcW w:w="1554" w:type="pct"/>
            <w:vMerge w:val="restart"/>
            <w:vAlign w:val="center"/>
          </w:tcPr>
          <w:p>
            <w:pPr>
              <w:jc w:val="center"/>
              <w:rPr>
                <w:rFonts w:ascii="宋体" w:hAnsi="宋体" w:cs="仿宋"/>
                <w:kern w:val="0"/>
                <w:sz w:val="24"/>
                <w:szCs w:val="24"/>
              </w:rPr>
            </w:pPr>
            <w:r>
              <w:rPr>
                <w:rFonts w:hint="eastAsia" w:ascii="宋体" w:hAnsi="宋体" w:cs="仿宋"/>
                <w:kern w:val="0"/>
                <w:sz w:val="24"/>
                <w:szCs w:val="24"/>
              </w:rPr>
              <w:t>至少配备1名土木建筑工程（土建）专业人员；</w:t>
            </w:r>
          </w:p>
          <w:p>
            <w:pPr>
              <w:jc w:val="center"/>
              <w:rPr>
                <w:rFonts w:ascii="宋体" w:hAnsi="宋体" w:cs="仿宋"/>
                <w:kern w:val="0"/>
                <w:sz w:val="24"/>
                <w:szCs w:val="24"/>
              </w:rPr>
            </w:pPr>
            <w:r>
              <w:rPr>
                <w:rFonts w:hint="eastAsia" w:ascii="宋体" w:hAnsi="宋体" w:cs="仿宋"/>
                <w:kern w:val="0"/>
                <w:sz w:val="24"/>
                <w:szCs w:val="24"/>
              </w:rPr>
              <w:t>所有人员需在</w:t>
            </w:r>
            <w:r>
              <w:rPr>
                <w:rFonts w:hint="eastAsia" w:ascii="宋体" w:hAnsi="宋体" w:cs="仿宋"/>
                <w:kern w:val="0"/>
                <w:sz w:val="24"/>
                <w:szCs w:val="24"/>
                <w:lang w:val="en-US" w:eastAsia="zh-CN"/>
              </w:rPr>
              <w:t>供应商</w:t>
            </w:r>
            <w:r>
              <w:rPr>
                <w:rFonts w:hint="eastAsia" w:ascii="宋体" w:hAnsi="宋体" w:cs="仿宋"/>
                <w:kern w:val="0"/>
                <w:sz w:val="24"/>
                <w:szCs w:val="24"/>
              </w:rPr>
              <w:t>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9" w:type="pct"/>
            <w:vAlign w:val="center"/>
          </w:tcPr>
          <w:p>
            <w:pPr>
              <w:jc w:val="center"/>
              <w:rPr>
                <w:rFonts w:ascii="宋体" w:hAnsi="宋体" w:cs="仿宋"/>
                <w:kern w:val="0"/>
                <w:sz w:val="24"/>
                <w:szCs w:val="24"/>
              </w:rPr>
            </w:pPr>
            <w:r>
              <w:rPr>
                <w:rFonts w:hint="eastAsia" w:ascii="宋体" w:hAnsi="宋体" w:cs="仿宋"/>
                <w:kern w:val="0"/>
                <w:sz w:val="24"/>
                <w:szCs w:val="24"/>
              </w:rPr>
              <w:t>造价人员</w:t>
            </w:r>
          </w:p>
        </w:tc>
        <w:tc>
          <w:tcPr>
            <w:tcW w:w="1755"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w:t>
            </w:r>
          </w:p>
          <w:p>
            <w:pPr>
              <w:jc w:val="center"/>
              <w:rPr>
                <w:rFonts w:hint="eastAsia" w:ascii="宋体" w:hAnsi="宋体" w:cs="仿宋"/>
                <w:kern w:val="0"/>
                <w:sz w:val="24"/>
                <w:szCs w:val="24"/>
              </w:rPr>
            </w:pPr>
            <w:r>
              <w:rPr>
                <w:rFonts w:hint="eastAsia" w:ascii="宋体" w:hAnsi="宋体" w:cs="仿宋"/>
                <w:kern w:val="0"/>
                <w:sz w:val="24"/>
                <w:szCs w:val="24"/>
              </w:rPr>
              <w:t>有效的一级注册造价工师</w:t>
            </w:r>
          </w:p>
          <w:p>
            <w:pPr>
              <w:pStyle w:val="2"/>
            </w:pPr>
          </w:p>
        </w:tc>
        <w:tc>
          <w:tcPr>
            <w:tcW w:w="1030" w:type="pct"/>
            <w:vAlign w:val="center"/>
          </w:tcPr>
          <w:p>
            <w:pPr>
              <w:jc w:val="center"/>
              <w:rPr>
                <w:rFonts w:hint="eastAsia" w:ascii="宋体" w:hAnsi="宋体" w:cs="仿宋" w:eastAsiaTheme="minorEastAsia"/>
                <w:kern w:val="0"/>
                <w:sz w:val="24"/>
                <w:szCs w:val="24"/>
                <w:lang w:eastAsia="zh-CN"/>
              </w:rPr>
            </w:pPr>
            <w:r>
              <w:rPr>
                <w:rFonts w:hint="eastAsia" w:ascii="宋体" w:hAnsi="宋体" w:cs="仿宋"/>
                <w:kern w:val="0"/>
                <w:sz w:val="24"/>
                <w:szCs w:val="24"/>
                <w:lang w:val="en-US" w:eastAsia="zh-CN"/>
              </w:rPr>
              <w:t>2</w:t>
            </w:r>
          </w:p>
        </w:tc>
        <w:tc>
          <w:tcPr>
            <w:tcW w:w="1554" w:type="pct"/>
            <w:vMerge w:val="continue"/>
            <w:vAlign w:val="center"/>
          </w:tcPr>
          <w:p>
            <w:pPr>
              <w:jc w:val="center"/>
              <w:rPr>
                <w:rFonts w:ascii="宋体" w:hAnsi="宋体" w:cs="仿宋"/>
                <w:kern w:val="0"/>
                <w:sz w:val="24"/>
                <w:szCs w:val="24"/>
              </w:rPr>
            </w:pPr>
          </w:p>
        </w:tc>
      </w:tr>
    </w:tbl>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注：</w:t>
      </w:r>
    </w:p>
    <w:p>
      <w:pPr>
        <w:numPr>
          <w:ilvl w:val="0"/>
          <w:numId w:val="3"/>
        </w:numPr>
        <w:adjustRightInd w:val="0"/>
        <w:snapToGrid w:val="0"/>
        <w:spacing w:line="360" w:lineRule="auto"/>
        <w:ind w:right="105" w:rightChars="50"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连续近3个月在该单位缴纳社会保障金的证明材料</w:t>
      </w:r>
      <w:r>
        <w:rPr>
          <w:rFonts w:hint="eastAsia" w:ascii="宋体" w:hAnsi="宋体" w:cs="宋体"/>
          <w:b/>
          <w:bCs/>
          <w:color w:val="FF0000"/>
          <w:sz w:val="24"/>
          <w:szCs w:val="24"/>
          <w:lang w:eastAsia="zh-CN"/>
        </w:rPr>
        <w:t>。</w:t>
      </w:r>
    </w:p>
    <w:p>
      <w:pPr>
        <w:numPr>
          <w:ilvl w:val="0"/>
          <w:numId w:val="0"/>
        </w:num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（2）若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连续3个月为其缴纳社会保障金的证明材料复印件。</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（3）与</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有直接隶属关系的机构缴纳的社保视同缴纳，但须提供有关证明材料。</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（4）退休人员须提供退休证明及返聘合同材料复印件或扫描件。</w:t>
      </w:r>
    </w:p>
    <w:p>
      <w:pPr>
        <w:pStyle w:val="8"/>
      </w:pPr>
    </w:p>
    <w:p>
      <w:pPr>
        <w:pStyle w:val="8"/>
      </w:pPr>
    </w:p>
    <w:p>
      <w:pPr>
        <w:pStyle w:val="8"/>
      </w:pPr>
    </w:p>
    <w:p>
      <w:pPr>
        <w:pStyle w:val="8"/>
      </w:pPr>
    </w:p>
    <w:p>
      <w:pPr>
        <w:pStyle w:val="8"/>
      </w:pPr>
    </w:p>
    <w:p>
      <w:pPr>
        <w:pStyle w:val="8"/>
      </w:pPr>
    </w:p>
    <w:p>
      <w:pPr>
        <w:pStyle w:val="8"/>
      </w:pPr>
    </w:p>
    <w:p>
      <w:pPr>
        <w:pStyle w:val="8"/>
        <w:rPr>
          <w:rFonts w:hint="eastAsia"/>
          <w:b/>
          <w:bCs/>
          <w:sz w:val="30"/>
          <w:szCs w:val="30"/>
          <w:lang w:val="en-US" w:eastAsia="zh-CN"/>
        </w:rPr>
      </w:pPr>
      <w:r>
        <w:rPr>
          <w:rFonts w:hint="eastAsia"/>
          <w:b/>
          <w:bCs/>
          <w:sz w:val="30"/>
          <w:szCs w:val="30"/>
          <w:lang w:val="en-US" w:eastAsia="zh-CN"/>
        </w:rPr>
        <w:t>附件3：</w:t>
      </w:r>
    </w:p>
    <w:p>
      <w:pPr>
        <w:pStyle w:val="8"/>
        <w:jc w:val="center"/>
        <w:rPr>
          <w:b/>
          <w:bCs/>
        </w:rPr>
      </w:pPr>
      <w:r>
        <w:rPr>
          <w:rFonts w:hint="eastAsia"/>
          <w:b/>
          <w:bCs/>
          <w:lang w:val="en-US" w:eastAsia="zh-CN"/>
        </w:rPr>
        <w:t>下河塘公园先导区项目（EPC总承包）跟踪审计评审标准</w:t>
      </w:r>
    </w:p>
    <w:tbl>
      <w:tblPr>
        <w:tblStyle w:val="9"/>
        <w:tblW w:w="6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8"/>
        <w:gridCol w:w="1010"/>
        <w:gridCol w:w="1066"/>
        <w:gridCol w:w="7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7"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30"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59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30"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15</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1.1综合比较承接项目后的工作步骤、流程：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（1）工作步骤流程清晰，节点、跟进人员及提供服务内容明确、风险及意外事件控制合理</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（2）工作步骤及流程较清晰、跟进人员及提供服务内容、风险及意外事件控制较合理的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（3）工作步骤、流程内容欠缺、有待调整的</w:t>
            </w:r>
            <w:r>
              <w:rPr>
                <w:rFonts w:hint="eastAsia" w:ascii="宋体" w:hAnsi="宋体"/>
                <w:sz w:val="24"/>
                <w:szCs w:val="24"/>
                <w:lang w:eastAsia="zh-CN"/>
              </w:rPr>
              <w:t>，</w:t>
            </w:r>
            <w:r>
              <w:rPr>
                <w:rFonts w:hint="eastAsia" w:ascii="宋体" w:hAnsi="宋体"/>
                <w:sz w:val="24"/>
                <w:szCs w:val="24"/>
                <w:lang w:val="en-US" w:eastAsia="zh-CN"/>
              </w:rPr>
              <w:t>得1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1.2综合比较对本项目工程跟踪审计服务的质量控制方案：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1.3综合比较对本项目实施意见及重点、难点分析理解控制内容：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（1）实施意见有针对性、可操作性且条理清晰，重点难点分析理解准确，风险控制有效的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（2）实施意见、重点难点分析理解较准确，风险控制较好的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（3）实施意见、重点难点分析内容欠缺、有待调整的得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502" w:type="pct"/>
            <w:vAlign w:val="center"/>
          </w:tcPr>
          <w:p>
            <w:pPr>
              <w:spacing w:line="360" w:lineRule="auto"/>
              <w:jc w:val="center"/>
              <w:rPr>
                <w:rFonts w:ascii="宋体" w:hAnsi="宋体" w:cs="宋体"/>
                <w:sz w:val="24"/>
                <w:szCs w:val="24"/>
              </w:rPr>
            </w:pPr>
            <w:r>
              <w:rPr>
                <w:rFonts w:hint="eastAsia" w:ascii="宋体" w:hAnsi="宋体"/>
                <w:sz w:val="24"/>
                <w:szCs w:val="24"/>
              </w:rPr>
              <w:t>内部管理制度</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2.1综合比较投标人的内部管理制度：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（1）内部管理制度完善程度全面、细致的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8-10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（2）内部管理制度较全面、较细致的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5-7</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（3）内部管理制度</w:t>
            </w:r>
            <w:r>
              <w:rPr>
                <w:rFonts w:hint="eastAsia" w:ascii="宋体" w:hAnsi="宋体"/>
                <w:sz w:val="24"/>
                <w:szCs w:val="24"/>
              </w:rPr>
              <w:t>内容欠缺、有待调整的</w:t>
            </w:r>
            <w:r>
              <w:rPr>
                <w:rFonts w:hint="eastAsia" w:ascii="宋体" w:hAnsi="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1-4</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（4）未提供的</w:t>
            </w:r>
            <w:r>
              <w:rPr>
                <w:rFonts w:hint="eastAsia" w:ascii="宋体" w:hAnsi="宋体" w:cs="宋体"/>
                <w:sz w:val="24"/>
                <w:szCs w:val="24"/>
                <w:lang w:eastAsia="zh-CN"/>
              </w:rPr>
              <w:t>，</w:t>
            </w:r>
            <w:r>
              <w:rPr>
                <w:rFonts w:hint="eastAsia" w:ascii="宋体" w:hAnsi="宋体" w:cs="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（1）为本项目服务的人员满足基本人员要求的，得基本分</w:t>
            </w:r>
            <w:r>
              <w:rPr>
                <w:rFonts w:hint="eastAsia" w:ascii="宋体" w:hAnsi="宋体" w:cs="宋体"/>
                <w:sz w:val="24"/>
                <w:szCs w:val="24"/>
                <w:lang w:val="en-US" w:eastAsia="zh-CN"/>
              </w:rPr>
              <w:t>20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（2）在基本人员要求的基础上，每增加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且具有高级职称的得</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分；每增加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bookmarkStart w:id="0" w:name="_GoBack"/>
            <w:bookmarkEnd w:id="0"/>
            <w:r>
              <w:rPr>
                <w:rFonts w:hint="eastAsia" w:ascii="宋体" w:hAnsi="宋体" w:cs="宋体"/>
                <w:sz w:val="24"/>
                <w:szCs w:val="24"/>
              </w:rPr>
              <w:t>的得2分；满分</w:t>
            </w:r>
            <w:r>
              <w:rPr>
                <w:rFonts w:hint="eastAsia" w:ascii="宋体" w:hAnsi="宋体" w:cs="宋体"/>
                <w:sz w:val="24"/>
                <w:szCs w:val="24"/>
                <w:lang w:val="en-US" w:eastAsia="zh-CN"/>
              </w:rPr>
              <w:t>5</w:t>
            </w:r>
            <w:r>
              <w:rPr>
                <w:rFonts w:hint="eastAsia" w:ascii="宋体" w:hAnsi="宋体" w:cs="宋体"/>
                <w:sz w:val="24"/>
                <w:szCs w:val="24"/>
              </w:rPr>
              <w:t>分。</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文件中提供为本项目服务人员的专业资格证书、技术职称证书复印件，其中全国注册造价工程师或有效的一级注册造价工程师提供造价师证书（含执业资格和注册证书）复印件或扫描件。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hint="eastAsia" w:ascii="宋体" w:hAnsi="宋体"/>
                <w:bCs/>
                <w:sz w:val="24"/>
                <w:szCs w:val="24"/>
                <w:lang w:val="en-US" w:eastAsia="zh-CN"/>
              </w:rPr>
            </w:pPr>
            <w:r>
              <w:rPr>
                <w:rFonts w:hint="eastAsia" w:ascii="宋体" w:hAnsi="宋体"/>
                <w:bCs/>
                <w:sz w:val="24"/>
                <w:szCs w:val="24"/>
                <w:lang w:val="en-US" w:eastAsia="zh-CN"/>
              </w:rPr>
              <w:t>供应商</w:t>
            </w:r>
          </w:p>
          <w:p>
            <w:pPr>
              <w:spacing w:line="360" w:lineRule="auto"/>
              <w:jc w:val="center"/>
              <w:rPr>
                <w:rFonts w:ascii="宋体" w:hAnsi="宋体"/>
                <w:bCs/>
                <w:sz w:val="24"/>
                <w:szCs w:val="24"/>
              </w:rPr>
            </w:pPr>
            <w:r>
              <w:rPr>
                <w:rFonts w:hint="eastAsia" w:ascii="宋体" w:hAnsi="宋体"/>
                <w:bCs/>
                <w:sz w:val="24"/>
                <w:szCs w:val="24"/>
              </w:rPr>
              <w:t>业绩</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18</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240" w:firstLineChars="100"/>
              <w:textAlignment w:val="auto"/>
              <w:rPr>
                <w:rFonts w:ascii="宋体" w:hAnsi="宋体" w:cs="宋体"/>
                <w:sz w:val="24"/>
                <w:szCs w:val="24"/>
              </w:rPr>
            </w:pPr>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自2020年1月1日(含)以来（以合同签订日期为准，无合同签订日期评审小组不予计分）具有</w:t>
            </w:r>
            <w:r>
              <w:rPr>
                <w:rFonts w:hint="eastAsia" w:ascii="宋体" w:hAnsi="宋体" w:cs="宋体"/>
                <w:sz w:val="24"/>
                <w:szCs w:val="24"/>
              </w:rPr>
              <w:t>政府投资跟踪审计项目或</w:t>
            </w:r>
            <w:r>
              <w:rPr>
                <w:rFonts w:hint="eastAsia" w:ascii="宋体" w:hAnsi="宋体"/>
                <w:sz w:val="24"/>
                <w:szCs w:val="24"/>
              </w:rPr>
              <w:t>EPC总承包全</w:t>
            </w:r>
            <w:r>
              <w:rPr>
                <w:rFonts w:hint="eastAsia" w:ascii="宋体" w:hAnsi="宋体" w:cs="宋体"/>
                <w:sz w:val="24"/>
                <w:szCs w:val="24"/>
              </w:rPr>
              <w:t>过程咨询业绩，</w:t>
            </w:r>
            <w:r>
              <w:rPr>
                <w:rFonts w:hint="eastAsia" w:ascii="宋体" w:hAnsi="宋体"/>
                <w:sz w:val="24"/>
                <w:szCs w:val="24"/>
              </w:rPr>
              <w:t>单个合同工程投资额</w:t>
            </w:r>
            <w:r>
              <w:rPr>
                <w:rFonts w:hint="eastAsia" w:ascii="宋体" w:hAnsi="宋体"/>
                <w:sz w:val="24"/>
                <w:szCs w:val="24"/>
                <w:lang w:val="en-US" w:eastAsia="zh-CN"/>
              </w:rPr>
              <w:t>3</w:t>
            </w:r>
            <w:r>
              <w:rPr>
                <w:rFonts w:hint="eastAsia" w:ascii="宋体" w:hAnsi="宋体"/>
                <w:sz w:val="24"/>
                <w:szCs w:val="24"/>
              </w:rPr>
              <w:t>000万元及以上</w:t>
            </w:r>
            <w:r>
              <w:rPr>
                <w:rFonts w:hint="eastAsia" w:ascii="宋体" w:hAnsi="宋体" w:cs="宋体"/>
                <w:sz w:val="24"/>
                <w:szCs w:val="24"/>
              </w:rPr>
              <w:t>的每有1个得</w:t>
            </w:r>
            <w:r>
              <w:rPr>
                <w:rFonts w:hint="eastAsia" w:ascii="宋体" w:hAnsi="宋体" w:cs="宋体"/>
                <w:sz w:val="24"/>
                <w:szCs w:val="24"/>
                <w:lang w:val="en-US" w:eastAsia="zh-CN"/>
              </w:rPr>
              <w:t>6</w:t>
            </w:r>
            <w:r>
              <w:rPr>
                <w:rFonts w:hint="eastAsia" w:ascii="宋体" w:hAnsi="宋体" w:cs="宋体"/>
                <w:sz w:val="24"/>
                <w:szCs w:val="24"/>
              </w:rPr>
              <w:t>分，最多得</w:t>
            </w:r>
            <w:r>
              <w:rPr>
                <w:rFonts w:hint="eastAsia" w:ascii="宋体" w:hAnsi="宋体" w:cs="宋体"/>
                <w:sz w:val="24"/>
                <w:szCs w:val="24"/>
                <w:lang w:val="en-US" w:eastAsia="zh-CN"/>
              </w:rPr>
              <w:t>18</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政府投资性项目内容或性质的，可另行提供合同甲方出具的证明材料，内容格式自拟。</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5</w:t>
            </w:r>
          </w:p>
        </w:tc>
        <w:tc>
          <w:tcPr>
            <w:tcW w:w="502" w:type="pct"/>
            <w:vAlign w:val="center"/>
          </w:tcPr>
          <w:p>
            <w:pPr>
              <w:numPr>
                <w:ilvl w:val="0"/>
                <w:numId w:val="0"/>
              </w:numPr>
              <w:spacing w:line="360" w:lineRule="auto"/>
              <w:jc w:val="center"/>
              <w:rPr>
                <w:rFonts w:hint="eastAsia" w:ascii="宋体" w:hAnsi="宋体"/>
                <w:bCs/>
                <w:sz w:val="24"/>
                <w:szCs w:val="24"/>
              </w:rPr>
            </w:pPr>
            <w:r>
              <w:rPr>
                <w:rFonts w:hint="eastAsia" w:ascii="宋体" w:hAnsi="宋体"/>
                <w:bCs/>
                <w:sz w:val="24"/>
                <w:szCs w:val="24"/>
              </w:rPr>
              <w:t>企业</w:t>
            </w:r>
          </w:p>
          <w:p>
            <w:pPr>
              <w:numPr>
                <w:ilvl w:val="0"/>
                <w:numId w:val="0"/>
              </w:numPr>
              <w:spacing w:line="360" w:lineRule="auto"/>
              <w:jc w:val="center"/>
              <w:rPr>
                <w:rFonts w:ascii="宋体" w:hAnsi="宋体"/>
                <w:bCs/>
                <w:sz w:val="24"/>
                <w:szCs w:val="24"/>
              </w:rPr>
            </w:pPr>
            <w:r>
              <w:rPr>
                <w:rFonts w:hint="eastAsia" w:ascii="宋体" w:hAnsi="宋体"/>
                <w:bCs/>
                <w:sz w:val="24"/>
                <w:szCs w:val="24"/>
              </w:rPr>
              <w:t>荣誉</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sz w:val="24"/>
                <w:szCs w:val="24"/>
                <w:lang w:val="en-US" w:eastAsia="zh-CN"/>
              </w:rPr>
              <w:t>12</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w:t>
            </w:r>
            <w:r>
              <w:rPr>
                <w:rFonts w:hint="eastAsia" w:ascii="宋体" w:hAnsi="宋体" w:cs="宋体"/>
                <w:bCs/>
                <w:sz w:val="24"/>
                <w:szCs w:val="24"/>
              </w:rPr>
              <w:t>自2020年1月1日以来，获得地市级建设主管部门或地市级行业主管协会(如建设工程造价管理协会、建设工程咨询行业协会、建筑业协会等) 荣誉表彰的，每有一个得</w:t>
            </w:r>
            <w:r>
              <w:rPr>
                <w:rFonts w:hint="eastAsia" w:ascii="宋体" w:hAnsi="宋体" w:cs="宋体"/>
                <w:bCs/>
                <w:sz w:val="24"/>
                <w:szCs w:val="24"/>
                <w:lang w:val="en-US" w:eastAsia="zh-CN"/>
              </w:rPr>
              <w:t>3</w:t>
            </w:r>
            <w:r>
              <w:rPr>
                <w:rFonts w:hint="eastAsia" w:ascii="宋体" w:hAnsi="宋体" w:cs="宋体"/>
                <w:bCs/>
                <w:sz w:val="24"/>
                <w:szCs w:val="24"/>
              </w:rPr>
              <w:t>分，最多得</w:t>
            </w:r>
            <w:r>
              <w:rPr>
                <w:rFonts w:hint="eastAsia" w:ascii="宋体" w:hAnsi="宋体" w:cs="宋体"/>
                <w:bCs/>
                <w:sz w:val="24"/>
                <w:szCs w:val="24"/>
                <w:lang w:val="en-US" w:eastAsia="zh-CN"/>
              </w:rPr>
              <w:t>9</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lang w:val="en-US" w:eastAsia="zh-CN"/>
              </w:rPr>
              <w:t>2供应商</w:t>
            </w:r>
            <w:r>
              <w:rPr>
                <w:rFonts w:hint="eastAsia" w:ascii="宋体" w:hAnsi="宋体" w:cs="宋体"/>
                <w:bCs/>
                <w:sz w:val="24"/>
                <w:szCs w:val="24"/>
              </w:rPr>
              <w:t>自2020年1月1日以来，获得省级建设主管部门或省级行业主管协会(如建设工程造价管理协会、建设工程咨询行业协会、建筑业协会等) 荣誉表彰的，每有一个得</w:t>
            </w:r>
            <w:r>
              <w:rPr>
                <w:rFonts w:hint="eastAsia" w:ascii="宋体" w:hAnsi="宋体" w:cs="宋体"/>
                <w:bCs/>
                <w:sz w:val="24"/>
                <w:szCs w:val="24"/>
                <w:lang w:val="en-US" w:eastAsia="zh-CN"/>
              </w:rPr>
              <w:t>6</w:t>
            </w:r>
            <w:r>
              <w:rPr>
                <w:rFonts w:hint="eastAsia" w:ascii="宋体" w:hAnsi="宋体" w:cs="宋体"/>
                <w:bCs/>
                <w:sz w:val="24"/>
                <w:szCs w:val="24"/>
              </w:rPr>
              <w:t>分，最多得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spacing w:line="440" w:lineRule="exact"/>
              <w:jc w:val="left"/>
              <w:textAlignment w:val="auto"/>
              <w:rPr>
                <w:rFonts w:ascii="宋体" w:hAnsi="宋体" w:cs="宋体"/>
                <w:bCs/>
                <w:sz w:val="24"/>
                <w:szCs w:val="24"/>
              </w:rPr>
            </w:pPr>
            <w:r>
              <w:rPr>
                <w:rFonts w:hint="eastAsia" w:ascii="宋体" w:hAnsi="宋体" w:cs="宋体"/>
                <w:bCs/>
                <w:sz w:val="24"/>
                <w:szCs w:val="24"/>
              </w:rPr>
              <w:t>本项合计最多得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pPr>
            <w:r>
              <w:rPr>
                <w:rFonts w:hint="eastAsia" w:ascii="宋体" w:hAnsi="宋体" w:cs="宋体"/>
                <w:b/>
                <w:bCs/>
                <w:color w:val="FF0000"/>
                <w:sz w:val="24"/>
                <w:szCs w:val="24"/>
              </w:rPr>
              <w:t>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须提供表彰证书或表彰文件等相关材料扫描件，时间以表彰证书颁发或表彰文件公布时间为准。以上所述协会必须为“中国社会组织政务服务平台”公布的协会，评审时仅以开标当日"中国社会组织政务服务平台"网站公布的协会为准，该平台上查询不到的，评审委员会不予计分。 投标文件中未提供或提供不符合要求的，评审委员会不予计分。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7"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ascii="宋体" w:hAnsi="宋体" w:cs="宋体"/>
                <w:bCs/>
                <w:sz w:val="24"/>
                <w:szCs w:val="24"/>
              </w:rPr>
              <w:t>6</w:t>
            </w:r>
            <w:r>
              <w:rPr>
                <w:rFonts w:hint="eastAsia" w:ascii="宋体" w:hAnsi="宋体" w:cs="宋体"/>
                <w:bCs/>
                <w:sz w:val="24"/>
                <w:szCs w:val="24"/>
              </w:rPr>
              <w:t>.1评标基准价=有效报价</w:t>
            </w:r>
            <w:r>
              <w:rPr>
                <w:rFonts w:hint="eastAsia" w:ascii="宋体" w:hAnsi="宋体" w:cs="宋体"/>
                <w:bCs/>
                <w:sz w:val="24"/>
                <w:szCs w:val="24"/>
                <w:lang w:val="en-US" w:eastAsia="zh-CN"/>
              </w:rPr>
              <w:t>供应商</w:t>
            </w:r>
            <w:r>
              <w:rPr>
                <w:rFonts w:hint="eastAsia" w:ascii="宋体" w:hAnsi="宋体" w:cs="宋体"/>
                <w:bCs/>
                <w:sz w:val="24"/>
                <w:szCs w:val="24"/>
              </w:rPr>
              <w:t>的技术部分前三名报价</w:t>
            </w:r>
            <w:r>
              <w:rPr>
                <w:rFonts w:hint="eastAsia" w:ascii="宋体" w:hAnsi="宋体" w:cs="宋体"/>
                <w:bCs/>
                <w:sz w:val="24"/>
                <w:szCs w:val="24"/>
                <w:lang w:val="en-US" w:eastAsia="zh-CN"/>
              </w:rPr>
              <w:t>平均价作为基准价</w:t>
            </w:r>
            <w:r>
              <w:rPr>
                <w:rFonts w:hint="eastAsia" w:ascii="宋体" w:hAnsi="宋体" w:cs="宋体"/>
                <w:bCs/>
                <w:sz w:val="24"/>
                <w:szCs w:val="24"/>
              </w:rPr>
              <w:t>，有效投标报价等于评标基准价得满分</w:t>
            </w:r>
            <w:r>
              <w:rPr>
                <w:rFonts w:hint="eastAsia" w:ascii="宋体" w:hAnsi="宋体" w:cs="宋体"/>
                <w:bCs/>
                <w:sz w:val="24"/>
                <w:szCs w:val="24"/>
                <w:lang w:val="en-US" w:eastAsia="zh-CN"/>
              </w:rPr>
              <w:t>20</w:t>
            </w:r>
            <w:r>
              <w:rPr>
                <w:rFonts w:hint="eastAsia" w:ascii="宋体" w:hAnsi="宋体" w:cs="宋体"/>
                <w:bCs/>
                <w:sz w:val="24"/>
                <w:szCs w:val="24"/>
              </w:rPr>
              <w:t>分，每高于评标基准价1%扣0.</w:t>
            </w:r>
            <w:r>
              <w:rPr>
                <w:rFonts w:hint="eastAsia" w:ascii="宋体" w:hAnsi="宋体" w:cs="宋体"/>
                <w:bCs/>
                <w:sz w:val="24"/>
                <w:szCs w:val="24"/>
                <w:lang w:val="en-US" w:eastAsia="zh-CN"/>
              </w:rPr>
              <w:t>4</w:t>
            </w:r>
            <w:r>
              <w:rPr>
                <w:rFonts w:hint="eastAsia" w:ascii="宋体" w:hAnsi="宋体" w:cs="宋体"/>
                <w:bCs/>
                <w:sz w:val="24"/>
                <w:szCs w:val="24"/>
              </w:rPr>
              <w:t>分，每低于评标基准价1%扣0.</w:t>
            </w:r>
            <w:r>
              <w:rPr>
                <w:rFonts w:hint="eastAsia" w:ascii="宋体" w:hAnsi="宋体" w:cs="宋体"/>
                <w:bCs/>
                <w:sz w:val="24"/>
                <w:szCs w:val="24"/>
                <w:lang w:val="en-US" w:eastAsia="zh-CN"/>
              </w:rPr>
              <w:t>2</w:t>
            </w:r>
            <w:r>
              <w:rPr>
                <w:rFonts w:hint="eastAsia" w:ascii="宋体" w:hAnsi="宋体" w:cs="宋体"/>
                <w:bCs/>
                <w:sz w:val="24"/>
                <w:szCs w:val="24"/>
              </w:rPr>
              <w:t>分，扣完为止。偏离值百分号前的数字保留小数点后2位数字，第3位四舍五入，偏离值不足1%的按直线插入法计算。</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投标报价得分计算方法如下：</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投标报价低于评标基准价的，投标报价得分=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-[（评标基准价-投标报价）/评标基准价]×100×0.</w:t>
            </w:r>
            <w:r>
              <w:rPr>
                <w:rFonts w:hint="eastAsia" w:ascii="宋体" w:hAnsi="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投标报价高于评标基准价的，投标报价得分=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-[（投标报价-评标基准价）/评标基准价]×100×0.</w:t>
            </w:r>
            <w:r>
              <w:rPr>
                <w:rFonts w:hint="eastAsia" w:ascii="宋体" w:hAnsi="宋体" w:cs="宋体"/>
                <w:bCs/>
                <w:sz w:val="24"/>
                <w:szCs w:val="24"/>
                <w:lang w:val="en-US" w:eastAsia="zh-CN"/>
              </w:rPr>
              <w:t>4</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（2）履约保证金按照签约合同价的5%收取；</w:t>
      </w:r>
    </w:p>
    <w:p>
      <w:pPr>
        <w:ind w:firstLine="560" w:firstLineChars="200"/>
        <w:rPr>
          <w:rFonts w:hint="eastAsia"/>
          <w:sz w:val="28"/>
          <w:szCs w:val="28"/>
        </w:rPr>
      </w:pPr>
      <w:r>
        <w:rPr>
          <w:rFonts w:hint="eastAsia"/>
          <w:sz w:val="28"/>
          <w:szCs w:val="28"/>
        </w:rPr>
        <w:t>（3）通过资格性审查的供应商不足3家的，将终止采购活动。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0C70DBDB"/>
    <w:multiLevelType w:val="singleLevel"/>
    <w:tmpl w:val="0C70DBDB"/>
    <w:lvl w:ilvl="0" w:tentative="0">
      <w:start w:val="1"/>
      <w:numFmt w:val="decimal"/>
      <w:suff w:val="nothing"/>
      <w:lvlText w:val="（%1）"/>
      <w:lvlJc w:val="left"/>
    </w:lvl>
  </w:abstractNum>
  <w:abstractNum w:abstractNumId="2">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96C7621"/>
    <w:rsid w:val="125B515C"/>
    <w:rsid w:val="25E570E5"/>
    <w:rsid w:val="34E5618B"/>
    <w:rsid w:val="368706EE"/>
    <w:rsid w:val="484A6616"/>
    <w:rsid w:val="60B406D2"/>
    <w:rsid w:val="6EAF319F"/>
    <w:rsid w:val="6F44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2023-12-11T07:50:00Z</cp:lastPrinted>
  <dcterms:modified xsi:type="dcterms:W3CDTF">2023-12-12T09:14:42Z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58F5B03AE22647F998FA2A98AC7C19FF_13</vt:lpwstr>
  </property>
</Properties>
</file>